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8E0F8" w14:textId="36378F11" w:rsidR="00DC02D5" w:rsidRDefault="00DC02D5" w:rsidP="00F9134B">
      <w:pPr>
        <w:spacing w:before="0" w:beforeAutospacing="0" w:after="0" w:afterAutospacing="0"/>
        <w:jc w:val="center"/>
        <w:rPr>
          <w:rFonts w:cs="Arial"/>
          <w:b/>
          <w:caps/>
          <w:color w:val="003152"/>
          <w:spacing w:val="10"/>
          <w:kern w:val="28"/>
        </w:rPr>
      </w:pPr>
      <w:r>
        <w:rPr>
          <w:noProof/>
        </w:rPr>
        <w:drawing>
          <wp:anchor distT="0" distB="0" distL="114300" distR="114300" simplePos="0" relativeHeight="251659264" behindDoc="0" locked="0" layoutInCell="1" allowOverlap="1" wp14:anchorId="118CAF45" wp14:editId="0C785400">
            <wp:simplePos x="0" y="0"/>
            <wp:positionH relativeFrom="page">
              <wp:align>right</wp:align>
            </wp:positionH>
            <wp:positionV relativeFrom="paragraph">
              <wp:posOffset>0</wp:posOffset>
            </wp:positionV>
            <wp:extent cx="7759700" cy="8610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759700" cy="861060"/>
                    </a:xfrm>
                    <a:prstGeom prst="rect">
                      <a:avLst/>
                    </a:prstGeom>
                  </pic:spPr>
                </pic:pic>
              </a:graphicData>
            </a:graphic>
            <wp14:sizeRelH relativeFrom="margin">
              <wp14:pctWidth>0</wp14:pctWidth>
            </wp14:sizeRelH>
            <wp14:sizeRelV relativeFrom="margin">
              <wp14:pctHeight>0</wp14:pctHeight>
            </wp14:sizeRelV>
          </wp:anchor>
        </w:drawing>
      </w:r>
    </w:p>
    <w:p w14:paraId="0662C408" w14:textId="597E70C0" w:rsidR="00DC02D5" w:rsidRDefault="00DC02D5" w:rsidP="00F9134B">
      <w:pPr>
        <w:spacing w:before="0" w:beforeAutospacing="0" w:after="0" w:afterAutospacing="0"/>
        <w:jc w:val="center"/>
        <w:rPr>
          <w:rFonts w:cs="Arial"/>
          <w:b/>
          <w:caps/>
          <w:color w:val="003152"/>
          <w:spacing w:val="10"/>
          <w:kern w:val="28"/>
        </w:rPr>
      </w:pPr>
    </w:p>
    <w:p w14:paraId="2A71E8EE" w14:textId="392E09B7" w:rsidR="00DC02D5" w:rsidRDefault="00DC02D5" w:rsidP="00F9134B">
      <w:pPr>
        <w:spacing w:before="0" w:beforeAutospacing="0" w:after="0" w:afterAutospacing="0"/>
        <w:jc w:val="center"/>
        <w:rPr>
          <w:rFonts w:cs="Arial"/>
          <w:b/>
          <w:caps/>
          <w:color w:val="003152"/>
          <w:spacing w:val="10"/>
          <w:kern w:val="28"/>
        </w:rPr>
      </w:pPr>
    </w:p>
    <w:p w14:paraId="2F8C5FBD" w14:textId="77777777" w:rsidR="00DC02D5" w:rsidRDefault="00DC02D5" w:rsidP="00F9134B">
      <w:pPr>
        <w:spacing w:before="0" w:beforeAutospacing="0" w:after="0" w:afterAutospacing="0"/>
        <w:jc w:val="center"/>
        <w:rPr>
          <w:rFonts w:cs="Arial"/>
          <w:b/>
          <w:caps/>
          <w:color w:val="003152"/>
          <w:spacing w:val="10"/>
          <w:kern w:val="28"/>
        </w:rPr>
      </w:pPr>
    </w:p>
    <w:p w14:paraId="69E0423F" w14:textId="77777777" w:rsidR="00DC02D5" w:rsidRDefault="00DC02D5" w:rsidP="00F9134B">
      <w:pPr>
        <w:spacing w:before="0" w:beforeAutospacing="0" w:after="0" w:afterAutospacing="0"/>
        <w:jc w:val="center"/>
        <w:rPr>
          <w:rFonts w:cs="Arial"/>
          <w:b/>
          <w:caps/>
          <w:color w:val="003152"/>
          <w:spacing w:val="10"/>
          <w:kern w:val="28"/>
        </w:rPr>
      </w:pPr>
    </w:p>
    <w:p w14:paraId="318F9F4B" w14:textId="77777777" w:rsidR="00DC02D5" w:rsidRDefault="00DC02D5" w:rsidP="00F9134B">
      <w:pPr>
        <w:spacing w:before="0" w:beforeAutospacing="0" w:after="0" w:afterAutospacing="0"/>
        <w:jc w:val="center"/>
        <w:rPr>
          <w:rFonts w:cs="Arial"/>
          <w:b/>
          <w:caps/>
          <w:color w:val="003152"/>
          <w:spacing w:val="10"/>
          <w:kern w:val="28"/>
        </w:rPr>
      </w:pPr>
    </w:p>
    <w:p w14:paraId="19A64C90" w14:textId="77777777" w:rsidR="00DC02D5" w:rsidRDefault="00DC02D5" w:rsidP="00F9134B">
      <w:pPr>
        <w:spacing w:before="0" w:beforeAutospacing="0" w:after="0" w:afterAutospacing="0"/>
        <w:jc w:val="center"/>
        <w:rPr>
          <w:rFonts w:cs="Arial"/>
          <w:b/>
          <w:caps/>
          <w:color w:val="003152"/>
          <w:spacing w:val="10"/>
          <w:kern w:val="28"/>
        </w:rPr>
      </w:pPr>
    </w:p>
    <w:p w14:paraId="2D37F2A4" w14:textId="77777777" w:rsidR="00DC02D5" w:rsidRDefault="00DC02D5" w:rsidP="00F9134B">
      <w:pPr>
        <w:spacing w:before="0" w:beforeAutospacing="0" w:after="0" w:afterAutospacing="0"/>
        <w:jc w:val="center"/>
        <w:rPr>
          <w:rFonts w:cs="Arial"/>
          <w:b/>
          <w:caps/>
          <w:color w:val="003152"/>
          <w:spacing w:val="10"/>
          <w:kern w:val="28"/>
        </w:rPr>
      </w:pPr>
    </w:p>
    <w:p w14:paraId="5DF6E988" w14:textId="77777777" w:rsidR="00DC02D5" w:rsidRDefault="00DC02D5" w:rsidP="00F9134B">
      <w:pPr>
        <w:spacing w:before="0" w:beforeAutospacing="0" w:after="0" w:afterAutospacing="0"/>
        <w:jc w:val="center"/>
        <w:rPr>
          <w:rFonts w:cs="Arial"/>
          <w:b/>
          <w:caps/>
          <w:color w:val="003152"/>
          <w:spacing w:val="10"/>
          <w:kern w:val="28"/>
        </w:rPr>
      </w:pPr>
    </w:p>
    <w:p w14:paraId="4DC9972D" w14:textId="77777777" w:rsidR="00DC02D5" w:rsidRDefault="00DC02D5" w:rsidP="00F9134B">
      <w:pPr>
        <w:spacing w:before="0" w:beforeAutospacing="0" w:after="0" w:afterAutospacing="0"/>
        <w:jc w:val="center"/>
        <w:rPr>
          <w:rFonts w:cs="Arial"/>
          <w:b/>
          <w:caps/>
          <w:color w:val="003152"/>
          <w:spacing w:val="10"/>
          <w:kern w:val="28"/>
        </w:rPr>
      </w:pPr>
    </w:p>
    <w:p w14:paraId="6D9866AC" w14:textId="77777777" w:rsidR="00DC02D5" w:rsidRDefault="00DC02D5" w:rsidP="00F9134B">
      <w:pPr>
        <w:spacing w:before="0" w:beforeAutospacing="0" w:after="0" w:afterAutospacing="0"/>
        <w:jc w:val="center"/>
        <w:rPr>
          <w:rFonts w:cs="Arial"/>
          <w:b/>
          <w:caps/>
          <w:color w:val="003152"/>
          <w:spacing w:val="10"/>
          <w:kern w:val="28"/>
        </w:rPr>
      </w:pPr>
    </w:p>
    <w:p w14:paraId="02E48F4D" w14:textId="77777777" w:rsidR="00DC02D5" w:rsidRDefault="00DC02D5" w:rsidP="00DC02D5">
      <w:pPr>
        <w:jc w:val="center"/>
        <w:rPr>
          <w:rFonts w:cs="Arial"/>
          <w:b/>
          <w:caps/>
          <w:color w:val="003152"/>
          <w:spacing w:val="10"/>
          <w:kern w:val="28"/>
          <w:sz w:val="32"/>
          <w:szCs w:val="32"/>
        </w:rPr>
      </w:pPr>
      <w:r w:rsidRPr="00086879">
        <w:rPr>
          <w:rFonts w:cs="Arial"/>
          <w:b/>
          <w:caps/>
          <w:color w:val="003152"/>
          <w:spacing w:val="10"/>
          <w:kern w:val="28"/>
          <w:sz w:val="32"/>
          <w:szCs w:val="32"/>
        </w:rPr>
        <w:t>Gender Mainstreaming in the EU Accession Process</w:t>
      </w:r>
    </w:p>
    <w:p w14:paraId="155A20F1" w14:textId="77777777" w:rsidR="00DC02D5" w:rsidRDefault="00DC02D5" w:rsidP="00DC02D5">
      <w:pPr>
        <w:jc w:val="center"/>
        <w:rPr>
          <w:rFonts w:cs="Arial"/>
          <w:b/>
          <w:caps/>
          <w:color w:val="4472C4" w:themeColor="accent1"/>
          <w:spacing w:val="10"/>
          <w:kern w:val="28"/>
          <w:sz w:val="28"/>
          <w:szCs w:val="28"/>
        </w:rPr>
      </w:pPr>
    </w:p>
    <w:p w14:paraId="3DAE7839" w14:textId="77777777" w:rsidR="00DC02D5" w:rsidRPr="00157187" w:rsidRDefault="00DC02D5" w:rsidP="00DC02D5">
      <w:pPr>
        <w:jc w:val="center"/>
        <w:rPr>
          <w:rFonts w:cs="Arial"/>
          <w:b/>
          <w:caps/>
          <w:color w:val="4472C4" w:themeColor="accent1"/>
          <w:spacing w:val="10"/>
          <w:kern w:val="28"/>
          <w:sz w:val="28"/>
          <w:szCs w:val="28"/>
        </w:rPr>
      </w:pPr>
      <w:r w:rsidRPr="00157187">
        <w:rPr>
          <w:rFonts w:cs="Arial"/>
          <w:b/>
          <w:caps/>
          <w:color w:val="4472C4" w:themeColor="accent1"/>
          <w:spacing w:val="10"/>
          <w:kern w:val="28"/>
          <w:sz w:val="28"/>
          <w:szCs w:val="28"/>
        </w:rPr>
        <w:t>Country Assessment Report</w:t>
      </w:r>
    </w:p>
    <w:p w14:paraId="6946F5CD" w14:textId="77777777" w:rsidR="00DC02D5" w:rsidRDefault="00DC02D5" w:rsidP="00DC02D5">
      <w:pPr>
        <w:rPr>
          <w:rFonts w:cs="Arial"/>
          <w:b/>
          <w:sz w:val="32"/>
          <w:szCs w:val="32"/>
        </w:rPr>
      </w:pPr>
    </w:p>
    <w:p w14:paraId="6250A42B" w14:textId="77777777" w:rsidR="00DC02D5" w:rsidRDefault="00DC02D5" w:rsidP="00DC02D5">
      <w:pPr>
        <w:rPr>
          <w:rFonts w:cs="Arial"/>
          <w:b/>
          <w:sz w:val="32"/>
          <w:szCs w:val="32"/>
        </w:rPr>
      </w:pPr>
    </w:p>
    <w:p w14:paraId="4AB6F8A3" w14:textId="77777777" w:rsidR="00DC02D5" w:rsidRDefault="00DC02D5" w:rsidP="00DC02D5">
      <w:pPr>
        <w:rPr>
          <w:rFonts w:cs="Arial"/>
          <w:b/>
          <w:sz w:val="32"/>
          <w:szCs w:val="32"/>
        </w:rPr>
      </w:pPr>
    </w:p>
    <w:p w14:paraId="686D5815" w14:textId="77777777" w:rsidR="00DC02D5" w:rsidRDefault="00DC02D5" w:rsidP="00DC02D5">
      <w:pPr>
        <w:rPr>
          <w:rFonts w:cs="Arial"/>
          <w:b/>
          <w:sz w:val="32"/>
          <w:szCs w:val="32"/>
        </w:rPr>
      </w:pPr>
    </w:p>
    <w:p w14:paraId="45D919C9" w14:textId="2971015D" w:rsidR="00DC02D5" w:rsidRDefault="00DC02D5" w:rsidP="00DC02D5">
      <w:pPr>
        <w:rPr>
          <w:sz w:val="24"/>
          <w:szCs w:val="24"/>
        </w:rPr>
      </w:pPr>
      <w:r>
        <w:rPr>
          <w:sz w:val="24"/>
          <w:szCs w:val="24"/>
        </w:rPr>
        <w:t>Albania    202</w:t>
      </w:r>
      <w:r>
        <w:t>3</w:t>
      </w:r>
    </w:p>
    <w:p w14:paraId="0F78E240" w14:textId="77777777" w:rsidR="00DC02D5" w:rsidRDefault="00DC02D5" w:rsidP="00DC02D5">
      <w:pPr>
        <w:rPr>
          <w:rFonts w:cs="Arial"/>
          <w:b/>
          <w:sz w:val="32"/>
          <w:szCs w:val="32"/>
        </w:rPr>
      </w:pPr>
    </w:p>
    <w:p w14:paraId="2B8C79B5" w14:textId="77777777" w:rsidR="00DC02D5" w:rsidRDefault="00DC02D5" w:rsidP="00DC02D5">
      <w:pPr>
        <w:rPr>
          <w:rFonts w:cs="Arial"/>
          <w:b/>
          <w:sz w:val="32"/>
          <w:szCs w:val="32"/>
        </w:rPr>
      </w:pPr>
    </w:p>
    <w:p w14:paraId="4725E108" w14:textId="77777777" w:rsidR="00DC02D5" w:rsidRDefault="00DC02D5" w:rsidP="00DC02D5">
      <w:pPr>
        <w:rPr>
          <w:rFonts w:cs="Arial"/>
          <w:b/>
          <w:sz w:val="32"/>
          <w:szCs w:val="32"/>
        </w:rPr>
      </w:pPr>
    </w:p>
    <w:p w14:paraId="1336C64D" w14:textId="77777777" w:rsidR="00DC02D5" w:rsidRDefault="00DC02D5" w:rsidP="00DC02D5">
      <w:pPr>
        <w:rPr>
          <w:rFonts w:cs="Arial"/>
          <w:b/>
          <w:sz w:val="32"/>
          <w:szCs w:val="32"/>
        </w:rPr>
      </w:pPr>
    </w:p>
    <w:p w14:paraId="37623C02" w14:textId="77777777" w:rsidR="00DC02D5" w:rsidRDefault="00DC02D5" w:rsidP="00DC02D5">
      <w:pPr>
        <w:rPr>
          <w:rFonts w:cs="Arial"/>
          <w:b/>
          <w:sz w:val="32"/>
          <w:szCs w:val="32"/>
        </w:rPr>
      </w:pPr>
    </w:p>
    <w:p w14:paraId="4EA4EFDE" w14:textId="77777777" w:rsidR="00DC02D5" w:rsidRDefault="00DC02D5" w:rsidP="00DC02D5">
      <w:pPr>
        <w:rPr>
          <w:rFonts w:cs="Arial"/>
          <w:b/>
          <w:sz w:val="32"/>
          <w:szCs w:val="32"/>
        </w:rPr>
      </w:pPr>
    </w:p>
    <w:p w14:paraId="2892FB01" w14:textId="77777777" w:rsidR="00DC02D5" w:rsidRDefault="00DC02D5" w:rsidP="00DC02D5">
      <w:pPr>
        <w:rPr>
          <w:rFonts w:cs="Arial"/>
          <w:b/>
          <w:sz w:val="32"/>
          <w:szCs w:val="32"/>
        </w:rPr>
      </w:pPr>
    </w:p>
    <w:p w14:paraId="29B429A9" w14:textId="77777777" w:rsidR="00DC02D5" w:rsidRDefault="00DC02D5" w:rsidP="00DC02D5">
      <w:pPr>
        <w:pStyle w:val="NormalWeb"/>
        <w:jc w:val="right"/>
      </w:pPr>
      <w:r>
        <w:rPr>
          <w:rFonts w:eastAsia="Calibri"/>
        </w:rPr>
        <w:t>Partner organization</w:t>
      </w:r>
      <w:r w:rsidRPr="00F65410">
        <w:rPr>
          <w:rFonts w:eastAsia="Calibri"/>
        </w:rPr>
        <w:t>:</w:t>
      </w:r>
    </w:p>
    <w:p w14:paraId="7FAEF921" w14:textId="77777777" w:rsidR="00DC02D5" w:rsidRDefault="00DC02D5" w:rsidP="00DC02D5">
      <w:pPr>
        <w:rPr>
          <w:rFonts w:cs="Arial"/>
          <w:b/>
          <w:sz w:val="32"/>
          <w:szCs w:val="32"/>
        </w:rPr>
      </w:pPr>
      <w:r>
        <w:rPr>
          <w:noProof/>
        </w:rPr>
        <w:drawing>
          <wp:anchor distT="0" distB="0" distL="114300" distR="114300" simplePos="0" relativeHeight="251663360" behindDoc="0" locked="0" layoutInCell="1" allowOverlap="1" wp14:anchorId="15E7CAD5" wp14:editId="785D12FC">
            <wp:simplePos x="0" y="0"/>
            <wp:positionH relativeFrom="column">
              <wp:posOffset>4867275</wp:posOffset>
            </wp:positionH>
            <wp:positionV relativeFrom="paragraph">
              <wp:posOffset>151765</wp:posOffset>
            </wp:positionV>
            <wp:extent cx="781050" cy="7810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p>
    <w:p w14:paraId="769864CA" w14:textId="77777777" w:rsidR="00DC02D5" w:rsidRDefault="00DC02D5" w:rsidP="00DC02D5">
      <w:pPr>
        <w:rPr>
          <w:rFonts w:cs="Arial"/>
          <w:b/>
          <w:sz w:val="32"/>
          <w:szCs w:val="32"/>
        </w:rPr>
      </w:pPr>
    </w:p>
    <w:p w14:paraId="4F5F98AF" w14:textId="77777777" w:rsidR="00DC02D5" w:rsidRDefault="00DC02D5" w:rsidP="00DC02D5">
      <w:pPr>
        <w:rPr>
          <w:rFonts w:cs="Arial"/>
          <w:b/>
          <w:sz w:val="32"/>
          <w:szCs w:val="32"/>
        </w:rPr>
      </w:pPr>
    </w:p>
    <w:p w14:paraId="217162CB" w14:textId="77777777" w:rsidR="00DC02D5" w:rsidRDefault="00DC02D5" w:rsidP="00DC02D5">
      <w:pPr>
        <w:rPr>
          <w:rFonts w:cs="Arial"/>
          <w:b/>
          <w:sz w:val="32"/>
          <w:szCs w:val="32"/>
        </w:rPr>
      </w:pPr>
    </w:p>
    <w:p w14:paraId="716EC0FF" w14:textId="7765D533" w:rsidR="00DC02D5" w:rsidRDefault="00DC02D5" w:rsidP="00DC02D5">
      <w:pPr>
        <w:spacing w:before="0" w:beforeAutospacing="0" w:after="0" w:afterAutospacing="0"/>
        <w:rPr>
          <w:rFonts w:cs="Arial"/>
          <w:b/>
          <w:caps/>
          <w:color w:val="003152"/>
          <w:spacing w:val="10"/>
          <w:kern w:val="28"/>
        </w:rPr>
      </w:pPr>
      <w:r>
        <w:rPr>
          <w:noProof/>
        </w:rPr>
        <w:lastRenderedPageBreak/>
        <w:drawing>
          <wp:anchor distT="0" distB="0" distL="114300" distR="114300" simplePos="0" relativeHeight="251661312" behindDoc="0" locked="0" layoutInCell="1" allowOverlap="1" wp14:anchorId="575BC622" wp14:editId="18B0FBFE">
            <wp:simplePos x="0" y="0"/>
            <wp:positionH relativeFrom="page">
              <wp:align>right</wp:align>
            </wp:positionH>
            <wp:positionV relativeFrom="paragraph">
              <wp:posOffset>250825</wp:posOffset>
            </wp:positionV>
            <wp:extent cx="7759700" cy="8610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759700" cy="861060"/>
                    </a:xfrm>
                    <a:prstGeom prst="rect">
                      <a:avLst/>
                    </a:prstGeom>
                  </pic:spPr>
                </pic:pic>
              </a:graphicData>
            </a:graphic>
            <wp14:sizeRelH relativeFrom="margin">
              <wp14:pctWidth>0</wp14:pctWidth>
            </wp14:sizeRelH>
            <wp14:sizeRelV relativeFrom="margin">
              <wp14:pctHeight>0</wp14:pctHeight>
            </wp14:sizeRelV>
          </wp:anchor>
        </w:drawing>
      </w:r>
    </w:p>
    <w:p w14:paraId="2A862798" w14:textId="6EB0C94A" w:rsidR="00DC02D5" w:rsidRDefault="00DC02D5" w:rsidP="00F9134B">
      <w:pPr>
        <w:spacing w:before="0" w:beforeAutospacing="0" w:after="0" w:afterAutospacing="0"/>
        <w:jc w:val="center"/>
        <w:rPr>
          <w:rFonts w:cs="Arial"/>
          <w:b/>
          <w:caps/>
          <w:color w:val="003152"/>
          <w:spacing w:val="10"/>
          <w:kern w:val="28"/>
        </w:rPr>
      </w:pPr>
    </w:p>
    <w:p w14:paraId="47C41018" w14:textId="63741566" w:rsidR="00DC02D5" w:rsidRDefault="00DC02D5" w:rsidP="00F9134B">
      <w:pPr>
        <w:spacing w:before="0" w:beforeAutospacing="0" w:after="0" w:afterAutospacing="0"/>
        <w:jc w:val="center"/>
        <w:rPr>
          <w:rFonts w:cs="Arial"/>
          <w:b/>
          <w:caps/>
          <w:color w:val="003152"/>
          <w:spacing w:val="10"/>
          <w:kern w:val="28"/>
        </w:rPr>
      </w:pPr>
    </w:p>
    <w:p w14:paraId="6C6E9B19" w14:textId="7F3B28C9" w:rsidR="00DC02D5" w:rsidRDefault="00DC02D5" w:rsidP="00F9134B">
      <w:pPr>
        <w:spacing w:before="0" w:beforeAutospacing="0" w:after="0" w:afterAutospacing="0"/>
        <w:jc w:val="center"/>
        <w:rPr>
          <w:rFonts w:cs="Arial"/>
          <w:b/>
          <w:caps/>
          <w:color w:val="003152"/>
          <w:spacing w:val="10"/>
          <w:kern w:val="28"/>
        </w:rPr>
      </w:pPr>
    </w:p>
    <w:p w14:paraId="1B98AE58" w14:textId="6B254FB1" w:rsidR="00DC02D5" w:rsidRDefault="00DC02D5" w:rsidP="00F9134B">
      <w:pPr>
        <w:spacing w:before="0" w:beforeAutospacing="0" w:after="0" w:afterAutospacing="0"/>
        <w:jc w:val="center"/>
        <w:rPr>
          <w:rFonts w:cs="Arial"/>
          <w:b/>
          <w:caps/>
          <w:color w:val="003152"/>
          <w:spacing w:val="10"/>
          <w:kern w:val="28"/>
        </w:rPr>
      </w:pPr>
    </w:p>
    <w:p w14:paraId="6C72B475" w14:textId="77777777" w:rsidR="00DC02D5" w:rsidRPr="00157187" w:rsidRDefault="00DC02D5" w:rsidP="00DC02D5">
      <w:pPr>
        <w:rPr>
          <w:color w:val="44546A" w:themeColor="text2"/>
          <w:sz w:val="24"/>
          <w:szCs w:val="24"/>
        </w:rPr>
      </w:pPr>
      <w:r w:rsidRPr="00157187">
        <w:rPr>
          <w:color w:val="44546A" w:themeColor="text2"/>
          <w:sz w:val="24"/>
          <w:szCs w:val="24"/>
        </w:rPr>
        <w:t xml:space="preserve">Title: Gender Mainstreaming in the EU Accession Process Country assessment report </w:t>
      </w:r>
    </w:p>
    <w:p w14:paraId="0781E3A5" w14:textId="77777777" w:rsidR="00DC02D5" w:rsidRPr="00157187" w:rsidRDefault="00DC02D5" w:rsidP="00DC02D5">
      <w:pPr>
        <w:rPr>
          <w:color w:val="44546A" w:themeColor="text2"/>
          <w:sz w:val="24"/>
          <w:szCs w:val="24"/>
        </w:rPr>
      </w:pPr>
    </w:p>
    <w:p w14:paraId="1D06DD3A" w14:textId="77777777" w:rsidR="00DC02D5" w:rsidRPr="00157187" w:rsidRDefault="00DC02D5" w:rsidP="00DC02D5">
      <w:pPr>
        <w:rPr>
          <w:color w:val="44546A" w:themeColor="text2"/>
          <w:sz w:val="24"/>
          <w:szCs w:val="24"/>
        </w:rPr>
      </w:pPr>
      <w:r w:rsidRPr="00157187">
        <w:rPr>
          <w:color w:val="44546A" w:themeColor="text2"/>
          <w:sz w:val="24"/>
          <w:szCs w:val="24"/>
        </w:rPr>
        <w:t>Publisher: Albanian Women Empowerment Network</w:t>
      </w:r>
    </w:p>
    <w:p w14:paraId="2B61BAF6" w14:textId="77777777" w:rsidR="00DC02D5" w:rsidRPr="00157187" w:rsidRDefault="00DC02D5" w:rsidP="00DC02D5">
      <w:pPr>
        <w:rPr>
          <w:color w:val="44546A" w:themeColor="text2"/>
          <w:sz w:val="24"/>
          <w:szCs w:val="24"/>
        </w:rPr>
      </w:pPr>
    </w:p>
    <w:p w14:paraId="5F4E2E61" w14:textId="6B585782" w:rsidR="00DC02D5" w:rsidRPr="00157187" w:rsidRDefault="00DC02D5" w:rsidP="00DC02D5">
      <w:pPr>
        <w:rPr>
          <w:color w:val="44546A" w:themeColor="text2"/>
          <w:sz w:val="24"/>
          <w:szCs w:val="24"/>
        </w:rPr>
      </w:pPr>
      <w:r w:rsidRPr="00157187">
        <w:rPr>
          <w:color w:val="44546A" w:themeColor="text2"/>
          <w:sz w:val="24"/>
          <w:szCs w:val="24"/>
        </w:rPr>
        <w:t>Albania 202</w:t>
      </w:r>
      <w:r>
        <w:rPr>
          <w:color w:val="44546A" w:themeColor="text2"/>
          <w:sz w:val="24"/>
          <w:szCs w:val="24"/>
        </w:rPr>
        <w:t>3</w:t>
      </w:r>
      <w:r w:rsidRPr="00157187">
        <w:rPr>
          <w:color w:val="44546A" w:themeColor="text2"/>
          <w:sz w:val="24"/>
          <w:szCs w:val="24"/>
        </w:rPr>
        <w:t>, covering the period from January 1st – December 31st, 202</w:t>
      </w:r>
      <w:r>
        <w:rPr>
          <w:color w:val="44546A" w:themeColor="text2"/>
          <w:sz w:val="24"/>
          <w:szCs w:val="24"/>
        </w:rPr>
        <w:t>1</w:t>
      </w:r>
      <w:r w:rsidRPr="00157187">
        <w:rPr>
          <w:color w:val="44546A" w:themeColor="text2"/>
          <w:sz w:val="24"/>
          <w:szCs w:val="24"/>
        </w:rPr>
        <w:t xml:space="preserve"> </w:t>
      </w:r>
    </w:p>
    <w:p w14:paraId="55563639" w14:textId="77777777" w:rsidR="00DC02D5" w:rsidRPr="00157187" w:rsidRDefault="00DC02D5" w:rsidP="00DC02D5">
      <w:pPr>
        <w:rPr>
          <w:color w:val="44546A" w:themeColor="text2"/>
          <w:sz w:val="24"/>
          <w:szCs w:val="24"/>
        </w:rPr>
      </w:pPr>
    </w:p>
    <w:p w14:paraId="676B13A1" w14:textId="77777777" w:rsidR="00DC02D5" w:rsidRPr="00157187" w:rsidRDefault="00DC02D5" w:rsidP="00DC02D5">
      <w:pPr>
        <w:rPr>
          <w:color w:val="44546A" w:themeColor="text2"/>
          <w:sz w:val="24"/>
          <w:szCs w:val="24"/>
        </w:rPr>
      </w:pPr>
      <w:r w:rsidRPr="00157187">
        <w:rPr>
          <w:color w:val="44546A" w:themeColor="text2"/>
          <w:sz w:val="24"/>
          <w:szCs w:val="24"/>
        </w:rPr>
        <w:t xml:space="preserve">Free/Non-commercial Copy </w:t>
      </w:r>
    </w:p>
    <w:p w14:paraId="11DCE90C" w14:textId="77777777" w:rsidR="00DC02D5" w:rsidRPr="00157187" w:rsidRDefault="00DC02D5" w:rsidP="00DC02D5">
      <w:pPr>
        <w:rPr>
          <w:color w:val="44546A" w:themeColor="text2"/>
          <w:sz w:val="24"/>
          <w:szCs w:val="24"/>
        </w:rPr>
      </w:pPr>
    </w:p>
    <w:p w14:paraId="62E537DD" w14:textId="77777777" w:rsidR="00DC02D5" w:rsidRPr="00157187" w:rsidRDefault="00DC02D5" w:rsidP="00DC02D5">
      <w:pPr>
        <w:rPr>
          <w:rFonts w:cs="Arial"/>
          <w:b/>
          <w:color w:val="44546A" w:themeColor="text2"/>
          <w:sz w:val="24"/>
          <w:szCs w:val="24"/>
        </w:rPr>
      </w:pPr>
      <w:r w:rsidRPr="00157187">
        <w:rPr>
          <w:color w:val="44546A" w:themeColor="text2"/>
          <w:sz w:val="24"/>
          <w:szCs w:val="24"/>
        </w:rPr>
        <w:t>Organization compiling the report: Albanian Women Empowerment Network</w:t>
      </w:r>
    </w:p>
    <w:p w14:paraId="0E9D1692" w14:textId="77777777" w:rsidR="00DC02D5" w:rsidRPr="00157187" w:rsidRDefault="00DC02D5" w:rsidP="00DC02D5">
      <w:pPr>
        <w:rPr>
          <w:rFonts w:cs="Arial"/>
          <w:b/>
          <w:color w:val="4472C4" w:themeColor="accent1"/>
          <w:sz w:val="28"/>
          <w:szCs w:val="28"/>
        </w:rPr>
      </w:pPr>
    </w:p>
    <w:p w14:paraId="3B778720" w14:textId="77777777" w:rsidR="00DC02D5" w:rsidRDefault="00DC02D5" w:rsidP="00DC02D5">
      <w:pPr>
        <w:rPr>
          <w:rFonts w:cs="Arial"/>
          <w:b/>
          <w:sz w:val="32"/>
          <w:szCs w:val="32"/>
        </w:rPr>
      </w:pPr>
    </w:p>
    <w:p w14:paraId="7387B748" w14:textId="77777777" w:rsidR="00DC02D5" w:rsidRDefault="00DC02D5" w:rsidP="00DC02D5">
      <w:pPr>
        <w:rPr>
          <w:rFonts w:cs="Arial"/>
          <w:b/>
          <w:sz w:val="32"/>
          <w:szCs w:val="32"/>
        </w:rPr>
      </w:pPr>
    </w:p>
    <w:p w14:paraId="388F2B22" w14:textId="77777777" w:rsidR="00DC02D5" w:rsidRDefault="00DC02D5" w:rsidP="00DC02D5">
      <w:pPr>
        <w:rPr>
          <w:rFonts w:cs="Arial"/>
          <w:b/>
          <w:sz w:val="32"/>
          <w:szCs w:val="32"/>
        </w:rPr>
      </w:pPr>
    </w:p>
    <w:p w14:paraId="6776996E" w14:textId="77777777" w:rsidR="00DC02D5" w:rsidRDefault="00DC02D5" w:rsidP="00DC02D5">
      <w:pPr>
        <w:rPr>
          <w:rFonts w:cs="Arial"/>
          <w:b/>
          <w:sz w:val="32"/>
          <w:szCs w:val="32"/>
        </w:rPr>
      </w:pPr>
    </w:p>
    <w:p w14:paraId="4BE9083F" w14:textId="77777777" w:rsidR="00DC02D5" w:rsidRDefault="00DC02D5" w:rsidP="00DC02D5">
      <w:pPr>
        <w:jc w:val="center"/>
        <w:rPr>
          <w:sz w:val="24"/>
          <w:szCs w:val="24"/>
        </w:rPr>
      </w:pPr>
      <w:r>
        <w:t xml:space="preserve">This publication was produced with the </w:t>
      </w:r>
      <w:r>
        <w:rPr>
          <w:rFonts w:ascii="Tahoma" w:hAnsi="Tahoma" w:cs="Tahoma"/>
        </w:rPr>
        <w:t>f</w:t>
      </w:r>
      <w:r>
        <w:t>inancial support of the European Union and co-funded by Sweden. Its contents are the sole responsibility of Albanian Women’s Empowerment Network and do not necessarily re</w:t>
      </w:r>
      <w:r>
        <w:rPr>
          <w:rFonts w:ascii="Tahoma" w:hAnsi="Tahoma" w:cs="Tahoma"/>
        </w:rPr>
        <w:t>f</w:t>
      </w:r>
      <w:r>
        <w:t>lect the views of the European Union or Sweden.</w:t>
      </w:r>
    </w:p>
    <w:p w14:paraId="45EE3952" w14:textId="77777777" w:rsidR="00DC02D5" w:rsidRDefault="00DC02D5" w:rsidP="00DC02D5">
      <w:pPr>
        <w:rPr>
          <w:rFonts w:cs="Arial"/>
          <w:b/>
          <w:sz w:val="32"/>
          <w:szCs w:val="32"/>
        </w:rPr>
      </w:pPr>
    </w:p>
    <w:p w14:paraId="5F19CFDC" w14:textId="77777777" w:rsidR="00DC02D5" w:rsidRDefault="00DC02D5" w:rsidP="00DC02D5">
      <w:pPr>
        <w:rPr>
          <w:rFonts w:cs="Arial"/>
          <w:b/>
          <w:sz w:val="32"/>
          <w:szCs w:val="32"/>
        </w:rPr>
      </w:pPr>
    </w:p>
    <w:p w14:paraId="7C48194A" w14:textId="77777777" w:rsidR="00DC02D5" w:rsidRDefault="00DC02D5" w:rsidP="00DC02D5">
      <w:pPr>
        <w:rPr>
          <w:rFonts w:cs="Arial"/>
          <w:b/>
          <w:sz w:val="32"/>
          <w:szCs w:val="32"/>
        </w:rPr>
      </w:pPr>
    </w:p>
    <w:p w14:paraId="74FF1B13" w14:textId="77777777" w:rsidR="00DC02D5" w:rsidRDefault="00DC02D5" w:rsidP="00DC02D5">
      <w:pPr>
        <w:rPr>
          <w:rFonts w:cs="Arial"/>
          <w:b/>
          <w:sz w:val="32"/>
          <w:szCs w:val="32"/>
        </w:rPr>
      </w:pPr>
    </w:p>
    <w:p w14:paraId="79BE9705" w14:textId="77777777" w:rsidR="00DC02D5" w:rsidRDefault="00DC02D5" w:rsidP="00DC02D5">
      <w:pPr>
        <w:rPr>
          <w:rFonts w:cs="Arial"/>
          <w:b/>
          <w:sz w:val="32"/>
          <w:szCs w:val="32"/>
        </w:rPr>
      </w:pPr>
    </w:p>
    <w:p w14:paraId="6B1409F2" w14:textId="77777777" w:rsidR="00DC02D5" w:rsidRDefault="00DC02D5" w:rsidP="00DC02D5">
      <w:pPr>
        <w:rPr>
          <w:rFonts w:cs="Arial"/>
          <w:b/>
          <w:sz w:val="32"/>
          <w:szCs w:val="32"/>
        </w:rPr>
      </w:pPr>
    </w:p>
    <w:p w14:paraId="7ACE77A8" w14:textId="77777777" w:rsidR="00DC02D5" w:rsidRPr="00F65410" w:rsidRDefault="00DC02D5" w:rsidP="00DC02D5">
      <w:pPr>
        <w:pStyle w:val="NormalWeb"/>
      </w:pPr>
      <w:r w:rsidRPr="00F65410">
        <w:rPr>
          <w:rFonts w:eastAsia="Calibri"/>
        </w:rPr>
        <w:t>Implemented by:</w:t>
      </w:r>
    </w:p>
    <w:p w14:paraId="116F2F17" w14:textId="716E4D82" w:rsidR="00DC02D5" w:rsidRDefault="00DC02D5" w:rsidP="00F9134B">
      <w:pPr>
        <w:spacing w:before="0" w:beforeAutospacing="0" w:after="0" w:afterAutospacing="0"/>
        <w:jc w:val="center"/>
        <w:rPr>
          <w:rFonts w:cs="Arial"/>
          <w:b/>
          <w:caps/>
          <w:color w:val="003152"/>
          <w:spacing w:val="10"/>
          <w:kern w:val="28"/>
        </w:rPr>
      </w:pPr>
    </w:p>
    <w:p w14:paraId="2FA0715C" w14:textId="64FB1209" w:rsidR="00DC02D5" w:rsidRDefault="00DC02D5" w:rsidP="00F9134B">
      <w:pPr>
        <w:spacing w:before="0" w:beforeAutospacing="0" w:after="0" w:afterAutospacing="0"/>
        <w:jc w:val="center"/>
        <w:rPr>
          <w:rFonts w:cs="Arial"/>
          <w:b/>
          <w:caps/>
          <w:color w:val="003152"/>
          <w:spacing w:val="10"/>
          <w:kern w:val="28"/>
        </w:rPr>
      </w:pPr>
      <w:r w:rsidRPr="00FC2308">
        <w:rPr>
          <w:noProof/>
        </w:rPr>
        <w:drawing>
          <wp:inline distT="0" distB="0" distL="0" distR="0" wp14:anchorId="0EEFC38E" wp14:editId="52AC504A">
            <wp:extent cx="5943600" cy="647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647700"/>
                    </a:xfrm>
                    <a:prstGeom prst="rect">
                      <a:avLst/>
                    </a:prstGeom>
                    <a:noFill/>
                    <a:ln>
                      <a:noFill/>
                    </a:ln>
                  </pic:spPr>
                </pic:pic>
              </a:graphicData>
            </a:graphic>
          </wp:inline>
        </w:drawing>
      </w:r>
    </w:p>
    <w:p w14:paraId="0B95F778" w14:textId="13436D38" w:rsidR="00DC02D5" w:rsidRDefault="00DC02D5" w:rsidP="00F9134B">
      <w:pPr>
        <w:spacing w:before="0" w:beforeAutospacing="0" w:after="0" w:afterAutospacing="0"/>
        <w:jc w:val="center"/>
        <w:rPr>
          <w:rFonts w:cs="Arial"/>
          <w:b/>
          <w:caps/>
          <w:color w:val="003152"/>
          <w:spacing w:val="10"/>
          <w:kern w:val="28"/>
        </w:rPr>
      </w:pPr>
    </w:p>
    <w:p w14:paraId="471CA053" w14:textId="77777777" w:rsidR="000076BA" w:rsidRPr="00F9134B" w:rsidRDefault="000076BA" w:rsidP="00F9134B">
      <w:pPr>
        <w:spacing w:before="0" w:beforeAutospacing="0" w:after="0" w:afterAutospacing="0"/>
        <w:jc w:val="left"/>
        <w:rPr>
          <w:rFonts w:cs="Arial"/>
          <w:b/>
        </w:rPr>
      </w:pPr>
      <w:bookmarkStart w:id="0" w:name="_GoBack"/>
      <w:bookmarkEnd w:id="0"/>
    </w:p>
    <w:p w14:paraId="144B8F57" w14:textId="77777777" w:rsidR="00A31EFF" w:rsidRPr="00F9134B" w:rsidRDefault="00A31EFF" w:rsidP="00F9134B">
      <w:pPr>
        <w:pBdr>
          <w:top w:val="single" w:sz="24" w:space="0" w:color="003152"/>
          <w:left w:val="single" w:sz="24" w:space="0" w:color="003152"/>
          <w:bottom w:val="single" w:sz="24" w:space="0" w:color="003152"/>
          <w:right w:val="single" w:sz="24" w:space="0" w:color="003152"/>
        </w:pBdr>
        <w:shd w:val="clear" w:color="auto" w:fill="003152"/>
        <w:spacing w:before="0" w:beforeAutospacing="0" w:after="0" w:afterAutospacing="0"/>
        <w:jc w:val="left"/>
        <w:outlineLvl w:val="0"/>
        <w:rPr>
          <w:b/>
          <w:bCs/>
          <w:caps/>
          <w:color w:val="FFFFFF"/>
          <w:spacing w:val="15"/>
        </w:rPr>
      </w:pPr>
      <w:r w:rsidRPr="00F9134B">
        <w:rPr>
          <w:b/>
          <w:bCs/>
          <w:caps/>
          <w:color w:val="FFFFFF"/>
          <w:spacing w:val="15"/>
        </w:rPr>
        <w:lastRenderedPageBreak/>
        <w:t xml:space="preserve">Introduction </w:t>
      </w:r>
    </w:p>
    <w:p w14:paraId="23C110FA" w14:textId="77777777" w:rsidR="008D56E7" w:rsidRPr="00F9134B" w:rsidRDefault="008D56E7" w:rsidP="00F9134B">
      <w:pPr>
        <w:spacing w:before="0" w:beforeAutospacing="0" w:after="0" w:afterAutospacing="0"/>
      </w:pPr>
    </w:p>
    <w:p w14:paraId="31C6A6CB" w14:textId="53209355" w:rsidR="00605113" w:rsidRPr="00F9134B" w:rsidRDefault="00605113" w:rsidP="00F9134B">
      <w:pPr>
        <w:spacing w:before="0" w:beforeAutospacing="0" w:after="0" w:afterAutospacing="0"/>
      </w:pPr>
      <w:r w:rsidRPr="00F9134B">
        <w:t>Albania has been an applicant for EU membership since 2009 and a candidate country since June 2018. The Commission assessed that before accession negotiations could be formally opened, Albania still had to achieve a necessary degree of compliance with the membership criteria and in particular to meet the 12 key priorities identified in the Opinion.</w:t>
      </w:r>
      <w:r w:rsidR="002B3FDD" w:rsidRPr="00F9134B">
        <w:rPr>
          <w:rStyle w:val="FootnoteReference"/>
        </w:rPr>
        <w:footnoteReference w:id="1"/>
      </w:r>
      <w:r w:rsidRPr="00F9134B">
        <w:t xml:space="preserve"> Since then, the country has made efforts to address the priorities and advance in its quest for EU membership. On 25 March 2020, the Council of the EU decided to open accession talks with Albania and the country took part in the EU-Western Balkans summit of 6 May 2020, followed in 2021 by the Commission informing the Council that Albania has met the remaining condition to be fulfilled prior to the holding of the first Inter-Governmental Conference of accession negotiations. On 19 October 2021, the Directorate-General for Neighbourhood and Enlargement Negotiations of the European Commission provided a detailed assessment of the state of play and the progress made by Albania</w:t>
      </w:r>
      <w:r w:rsidRPr="00F9134B">
        <w:rPr>
          <w:rStyle w:val="FootnoteReference"/>
        </w:rPr>
        <w:footnoteReference w:id="2"/>
      </w:r>
      <w:r w:rsidRPr="00F9134B">
        <w:t xml:space="preserve"> on the path towards the European Union, with a particular focus on implementing fundamental reforms, as well as clear guidance on the reform priorities ahead. Most recently, in May 2022, the European Parliament, in adopting the 2021 EC report for Albania, urged the Council to officially start negotiations on EU membership for both Albania and North Macedonia.</w:t>
      </w:r>
      <w:r w:rsidRPr="00F9134B">
        <w:rPr>
          <w:rStyle w:val="FootnoteReference"/>
        </w:rPr>
        <w:footnoteReference w:id="3"/>
      </w:r>
      <w:r w:rsidRPr="00F9134B">
        <w:rPr>
          <w:rStyle w:val="FootnoteReference"/>
        </w:rPr>
        <w:t xml:space="preserve"> </w:t>
      </w:r>
    </w:p>
    <w:p w14:paraId="211CCA5D" w14:textId="0D2DD74D" w:rsidR="00605113" w:rsidRPr="00F9134B" w:rsidRDefault="00605113" w:rsidP="00F9134B">
      <w:pPr>
        <w:spacing w:before="0" w:beforeAutospacing="0" w:after="0" w:afterAutospacing="0"/>
      </w:pPr>
      <w:r w:rsidRPr="00F9134B">
        <w:t xml:space="preserve">This report is prepared by AWEN in the framework of the regional project “Furthering </w:t>
      </w:r>
      <w:r w:rsidR="00FC6F61" w:rsidRPr="00F9134B">
        <w:t>G</w:t>
      </w:r>
      <w:r w:rsidRPr="00F9134B">
        <w:t>ender Equality through the EU Accession Process”, supported by the European Union (EU) and co-funded by Swedish International Development Cooperation Agency (</w:t>
      </w:r>
      <w:proofErr w:type="spellStart"/>
      <w:r w:rsidRPr="00F9134B">
        <w:t>Sida</w:t>
      </w:r>
      <w:proofErr w:type="spellEnd"/>
      <w:r w:rsidRPr="00F9134B">
        <w:t xml:space="preserve">) </w:t>
      </w:r>
      <w:r w:rsidR="1FF48150" w:rsidRPr="00F9134B">
        <w:rPr>
          <w:rFonts w:eastAsia="Times" w:cs="Times"/>
          <w:color w:val="000000" w:themeColor="text1"/>
        </w:rPr>
        <w:t xml:space="preserve">led by Reactor – Research in Action (North Macedonia) and implemented with the </w:t>
      </w:r>
      <w:proofErr w:type="spellStart"/>
      <w:r w:rsidR="1FF48150" w:rsidRPr="00F9134B">
        <w:rPr>
          <w:rFonts w:eastAsia="Times" w:cs="Times"/>
          <w:color w:val="000000" w:themeColor="text1"/>
        </w:rPr>
        <w:t>Kvinna</w:t>
      </w:r>
      <w:proofErr w:type="spellEnd"/>
      <w:r w:rsidR="1FF48150" w:rsidRPr="00F9134B">
        <w:rPr>
          <w:rFonts w:eastAsia="Times" w:cs="Times"/>
          <w:color w:val="000000" w:themeColor="text1"/>
        </w:rPr>
        <w:t xml:space="preserve"> till </w:t>
      </w:r>
      <w:proofErr w:type="spellStart"/>
      <w:r w:rsidR="1FF48150" w:rsidRPr="00F9134B">
        <w:rPr>
          <w:rFonts w:eastAsia="Times" w:cs="Times"/>
          <w:color w:val="000000" w:themeColor="text1"/>
        </w:rPr>
        <w:t>Kvinna</w:t>
      </w:r>
      <w:proofErr w:type="spellEnd"/>
      <w:r w:rsidR="1FF48150" w:rsidRPr="00F9134B">
        <w:rPr>
          <w:rFonts w:eastAsia="Times" w:cs="Times"/>
          <w:color w:val="000000" w:themeColor="text1"/>
        </w:rPr>
        <w:t xml:space="preserve"> Foundation (Sweden), Kosovo Women’s Network (Kosovo), Albanian Women’s Empowerment Network (AWEN) (Albania), Rights for All (Bosnia and Herzegovina) and Women’s Rights </w:t>
      </w:r>
      <w:proofErr w:type="spellStart"/>
      <w:r w:rsidR="1FF48150" w:rsidRPr="00F9134B">
        <w:rPr>
          <w:rFonts w:eastAsia="Times" w:cs="Times"/>
          <w:color w:val="000000" w:themeColor="text1"/>
        </w:rPr>
        <w:t>Center</w:t>
      </w:r>
      <w:proofErr w:type="spellEnd"/>
      <w:r w:rsidR="1FF48150" w:rsidRPr="00F9134B">
        <w:rPr>
          <w:rFonts w:eastAsia="Times" w:cs="Times"/>
          <w:color w:val="000000" w:themeColor="text1"/>
        </w:rPr>
        <w:t xml:space="preserve"> (Montenegro)</w:t>
      </w:r>
      <w:r w:rsidRPr="00F9134B">
        <w:t>.</w:t>
      </w:r>
    </w:p>
    <w:p w14:paraId="7C85D0D0" w14:textId="0F99A526" w:rsidR="00605113" w:rsidRPr="00F9134B" w:rsidRDefault="00605113" w:rsidP="00F9134B">
      <w:pPr>
        <w:spacing w:before="0" w:beforeAutospacing="0" w:after="0" w:afterAutospacing="0"/>
      </w:pPr>
    </w:p>
    <w:p w14:paraId="2CF97757" w14:textId="7083CEF2" w:rsidR="00605113" w:rsidRPr="00F9134B" w:rsidRDefault="00CE3CC3" w:rsidP="00F9134B">
      <w:pPr>
        <w:spacing w:before="0" w:beforeAutospacing="0" w:after="0" w:afterAutospacing="0"/>
      </w:pPr>
      <w:r w:rsidRPr="00F9134B">
        <w:t xml:space="preserve">As part of the Action, the </w:t>
      </w:r>
      <w:r w:rsidR="00250682" w:rsidRPr="00F9134B">
        <w:t>Albanian Women Empowerment Network</w:t>
      </w:r>
      <w:r w:rsidR="00897E0B" w:rsidRPr="00F9134B">
        <w:t xml:space="preserve"> (AWEN)</w:t>
      </w:r>
      <w:r w:rsidR="00250682" w:rsidRPr="00F9134B">
        <w:t xml:space="preserve">, </w:t>
      </w:r>
      <w:r w:rsidR="00605113" w:rsidRPr="00F9134B">
        <w:t xml:space="preserve">seeks </w:t>
      </w:r>
      <w:r w:rsidR="1FF48150" w:rsidRPr="00F9134B">
        <w:rPr>
          <w:rFonts w:eastAsia="Times"/>
        </w:rPr>
        <w:t>to monitor and report on the key processes related to EU accession and assess the extent to which they are gender-mainstreamed.</w:t>
      </w:r>
      <w:r w:rsidR="00605113" w:rsidRPr="00F9134B">
        <w:t xml:space="preserve"> The monitoring methodology draws from the </w:t>
      </w:r>
      <w:r w:rsidR="1FF48150" w:rsidRPr="00F9134B">
        <w:rPr>
          <w:rFonts w:eastAsia="Times"/>
        </w:rPr>
        <w:t>revised methodology for the EU Accession process included in the Communication “Enhancing the Accession process: A Credible EU Perspective for the Western Balkans” proposed by the European Commission in February 2020 and officially endorsed by the EU Member States in the March 2020 Council Conclusions as well as the Joint Communication on the new Gender Action Plan III – An Ambitious Agenda for Gender Equality and Women’s Empowerment in External Action accompanied by Objectives and Indicators (GAP III).</w:t>
      </w:r>
      <w:r w:rsidR="1FF48150" w:rsidRPr="00F9134B">
        <w:t xml:space="preserve"> It includes </w:t>
      </w:r>
      <w:r w:rsidR="00DA4E8A" w:rsidRPr="00F9134B">
        <w:t>45</w:t>
      </w:r>
      <w:r w:rsidR="1FF48150" w:rsidRPr="00F9134B">
        <w:t xml:space="preserve"> indicators aiming to capture, among others: </w:t>
      </w:r>
      <w:r w:rsidR="00605113" w:rsidRPr="00F9134B">
        <w:t xml:space="preserve"> attention to gender equality issues in the EC Country Reports; implementation of gender equality recommendations included in the EC Country Reports by the national authorities; involvement and participation of women civil society organisations (WCSOs) in key processes related to EU accession</w:t>
      </w:r>
      <w:r w:rsidR="00DA4E8A" w:rsidRPr="00F9134B">
        <w:t>;</w:t>
      </w:r>
      <w:r w:rsidR="00605113" w:rsidRPr="00F9134B">
        <w:t xml:space="preserve"> use of the Gender Marker in the </w:t>
      </w:r>
      <w:r w:rsidR="00FC6F61" w:rsidRPr="00F9134B">
        <w:t>Instrument for Pre-Accession Assistance (</w:t>
      </w:r>
      <w:r w:rsidR="00605113" w:rsidRPr="00F9134B">
        <w:t>IPA</w:t>
      </w:r>
      <w:r w:rsidR="00FC6F61" w:rsidRPr="00F9134B">
        <w:t>)</w:t>
      </w:r>
      <w:r w:rsidR="00605113" w:rsidRPr="00F9134B">
        <w:t xml:space="preserve"> </w:t>
      </w:r>
      <w:r w:rsidR="002B3FDD" w:rsidRPr="00F9134B">
        <w:t>programming; inclusion</w:t>
      </w:r>
      <w:r w:rsidR="00605113" w:rsidRPr="00F9134B">
        <w:t xml:space="preserve"> of gender expertise and development of the gender statistics by </w:t>
      </w:r>
      <w:r w:rsidR="00DA4E8A" w:rsidRPr="00F9134B">
        <w:t>the National Statistical Offices</w:t>
      </w:r>
      <w:r w:rsidR="00605113" w:rsidRPr="00F9134B">
        <w:t>; presence and use of gender expertise in  government bodies mandated to lead the process of negotiation for EU accession; integration of gender equality issues in the political dialogue on the accession process</w:t>
      </w:r>
      <w:r w:rsidR="00CB158E" w:rsidRPr="00F9134B">
        <w:t>.</w:t>
      </w:r>
    </w:p>
    <w:p w14:paraId="3206ED6F" w14:textId="2426A7F4" w:rsidR="1FF48150" w:rsidRPr="00F9134B" w:rsidRDefault="1FF48150" w:rsidP="00F9134B">
      <w:pPr>
        <w:spacing w:before="0" w:beforeAutospacing="0" w:after="0" w:afterAutospacing="0"/>
        <w:rPr>
          <w:rFonts w:eastAsia="Cambria" w:cs="Cambria"/>
        </w:rPr>
      </w:pPr>
      <w:r w:rsidRPr="00F9134B">
        <w:rPr>
          <w:rFonts w:eastAsia="Cambria" w:cs="Cambria"/>
        </w:rPr>
        <w:t xml:space="preserve">The same methodology will be applied in each country to produce monitoring reports and track progress year on year. They will be complemented by a regional report identifying trends, common challenges and opportunities. The first national report covers the period from January to December 2021. Next editions will cover 2022 and 2023. </w:t>
      </w:r>
    </w:p>
    <w:p w14:paraId="0CF73ADF" w14:textId="77777777" w:rsidR="008D359F" w:rsidRPr="00F9134B" w:rsidRDefault="008D359F" w:rsidP="00F9134B">
      <w:pPr>
        <w:spacing w:before="0" w:beforeAutospacing="0" w:after="0" w:afterAutospacing="0"/>
      </w:pPr>
    </w:p>
    <w:p w14:paraId="039A3117" w14:textId="77777777" w:rsidR="00A31EFF" w:rsidRPr="00F9134B" w:rsidRDefault="00A31EFF" w:rsidP="00F9134B">
      <w:pPr>
        <w:pBdr>
          <w:top w:val="single" w:sz="24" w:space="0" w:color="003152"/>
          <w:left w:val="single" w:sz="24" w:space="0" w:color="003152"/>
          <w:bottom w:val="single" w:sz="24" w:space="0" w:color="003152"/>
          <w:right w:val="single" w:sz="24" w:space="0" w:color="003152"/>
        </w:pBdr>
        <w:shd w:val="clear" w:color="auto" w:fill="003152"/>
        <w:spacing w:before="0" w:beforeAutospacing="0" w:after="0" w:afterAutospacing="0"/>
        <w:jc w:val="left"/>
        <w:outlineLvl w:val="0"/>
        <w:rPr>
          <w:b/>
          <w:bCs/>
          <w:caps/>
          <w:color w:val="FFFFFF"/>
          <w:spacing w:val="15"/>
        </w:rPr>
      </w:pPr>
      <w:r w:rsidRPr="00F9134B">
        <w:rPr>
          <w:b/>
          <w:bCs/>
          <w:caps/>
          <w:color w:val="FFFFFF"/>
          <w:spacing w:val="15"/>
        </w:rPr>
        <w:t xml:space="preserve">Findings </w:t>
      </w:r>
    </w:p>
    <w:p w14:paraId="4D59FC0C"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jc w:val="left"/>
        <w:outlineLvl w:val="1"/>
        <w:rPr>
          <w:rFonts w:cs="Arial"/>
          <w:b/>
          <w:caps/>
          <w:spacing w:val="15"/>
        </w:rPr>
      </w:pPr>
      <w:r w:rsidRPr="00F9134B">
        <w:rPr>
          <w:rFonts w:cs="Arial"/>
          <w:b/>
          <w:caps/>
          <w:spacing w:val="15"/>
        </w:rPr>
        <w:t xml:space="preserve">Criterion a. Country Reports are gender-mainstreamed </w:t>
      </w:r>
    </w:p>
    <w:p w14:paraId="10273726" w14:textId="77777777" w:rsidR="0011558A" w:rsidRPr="00F9134B" w:rsidRDefault="0011558A" w:rsidP="00F9134B">
      <w:pPr>
        <w:spacing w:before="0" w:beforeAutospacing="0" w:after="0" w:afterAutospacing="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6228"/>
      </w:tblGrid>
      <w:tr w:rsidR="007F6A74" w:rsidRPr="00F9134B" w14:paraId="63DEBBFA" w14:textId="77777777" w:rsidTr="1FF48150">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4B7B57AA"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Number of times gender is mentioned in the Country Report</w:t>
            </w:r>
          </w:p>
        </w:tc>
        <w:tc>
          <w:tcPr>
            <w:tcW w:w="6228" w:type="dxa"/>
            <w:tcBorders>
              <w:top w:val="single" w:sz="4" w:space="0" w:color="auto"/>
              <w:left w:val="single" w:sz="4" w:space="0" w:color="auto"/>
              <w:bottom w:val="single" w:sz="4" w:space="0" w:color="auto"/>
              <w:right w:val="single" w:sz="4" w:space="0" w:color="auto"/>
            </w:tcBorders>
            <w:shd w:val="clear" w:color="auto" w:fill="auto"/>
            <w:hideMark/>
          </w:tcPr>
          <w:p w14:paraId="55DEEAB3" w14:textId="3F044856" w:rsidR="0011558A" w:rsidRPr="00F9134B" w:rsidRDefault="0011558A" w:rsidP="00F9134B">
            <w:pPr>
              <w:spacing w:before="0" w:beforeAutospacing="0" w:after="0" w:afterAutospacing="0"/>
              <w:rPr>
                <w:rFonts w:eastAsia="Calibri"/>
              </w:rPr>
            </w:pPr>
            <w:r w:rsidRPr="00F9134B">
              <w:rPr>
                <w:rFonts w:eastAsia="Calibri"/>
              </w:rPr>
              <w:t>Gender 28 times</w:t>
            </w:r>
          </w:p>
        </w:tc>
      </w:tr>
      <w:tr w:rsidR="007F6A74" w:rsidRPr="00F9134B" w14:paraId="0C48E96C" w14:textId="77777777" w:rsidTr="1FF48150">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72DE55AF"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Number of times women/girls are mentioned in the Country Report</w:t>
            </w:r>
          </w:p>
        </w:tc>
        <w:tc>
          <w:tcPr>
            <w:tcW w:w="6228" w:type="dxa"/>
            <w:tcBorders>
              <w:top w:val="single" w:sz="4" w:space="0" w:color="auto"/>
              <w:left w:val="single" w:sz="4" w:space="0" w:color="auto"/>
              <w:bottom w:val="single" w:sz="4" w:space="0" w:color="auto"/>
              <w:right w:val="single" w:sz="4" w:space="0" w:color="auto"/>
            </w:tcBorders>
            <w:shd w:val="clear" w:color="auto" w:fill="auto"/>
            <w:hideMark/>
          </w:tcPr>
          <w:p w14:paraId="568A220B" w14:textId="77777777" w:rsidR="0011558A" w:rsidRPr="00F9134B" w:rsidRDefault="0011558A" w:rsidP="00F9134B">
            <w:pPr>
              <w:spacing w:before="0" w:beforeAutospacing="0" w:after="0" w:afterAutospacing="0"/>
              <w:rPr>
                <w:rFonts w:eastAsia="Calibri"/>
              </w:rPr>
            </w:pPr>
            <w:r w:rsidRPr="00F9134B">
              <w:rPr>
                <w:rFonts w:eastAsia="Calibri"/>
              </w:rPr>
              <w:t>Women 43 times/ Girls 1 time</w:t>
            </w:r>
          </w:p>
        </w:tc>
      </w:tr>
      <w:tr w:rsidR="007F6A74" w:rsidRPr="00F9134B" w14:paraId="3F2BD6F5" w14:textId="77777777" w:rsidTr="1FF48150">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642F9D83"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Number of times boys/men are mentioned in the Country Report</w:t>
            </w:r>
          </w:p>
        </w:tc>
        <w:tc>
          <w:tcPr>
            <w:tcW w:w="6228" w:type="dxa"/>
            <w:tcBorders>
              <w:top w:val="single" w:sz="4" w:space="0" w:color="auto"/>
              <w:left w:val="single" w:sz="4" w:space="0" w:color="auto"/>
              <w:bottom w:val="single" w:sz="4" w:space="0" w:color="auto"/>
              <w:right w:val="single" w:sz="4" w:space="0" w:color="auto"/>
            </w:tcBorders>
            <w:shd w:val="clear" w:color="auto" w:fill="auto"/>
            <w:hideMark/>
          </w:tcPr>
          <w:p w14:paraId="11BA9D29" w14:textId="77777777" w:rsidR="0011558A" w:rsidRPr="00F9134B" w:rsidRDefault="0011558A" w:rsidP="00F9134B">
            <w:pPr>
              <w:spacing w:before="0" w:beforeAutospacing="0" w:after="0" w:afterAutospacing="0"/>
              <w:rPr>
                <w:rFonts w:eastAsia="Calibri"/>
              </w:rPr>
            </w:pPr>
            <w:r w:rsidRPr="00F9134B">
              <w:rPr>
                <w:rFonts w:eastAsia="Calibri"/>
              </w:rPr>
              <w:t>Men 2 times/ boys 1 time</w:t>
            </w:r>
          </w:p>
        </w:tc>
      </w:tr>
      <w:tr w:rsidR="007F6A74" w:rsidRPr="00F9134B" w14:paraId="5602BAA4" w14:textId="77777777" w:rsidTr="1FF48150">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0FE23D2A" w14:textId="6B71D0AF"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 of Chapters gender-mainstreamed</w:t>
            </w:r>
            <w:r w:rsidRPr="00F9134B">
              <w:rPr>
                <w:rFonts w:ascii="Cambria" w:hAnsi="Cambria"/>
              </w:rPr>
              <w:footnoteReference w:id="4"/>
            </w:r>
          </w:p>
        </w:tc>
        <w:tc>
          <w:tcPr>
            <w:tcW w:w="6228" w:type="dxa"/>
            <w:tcBorders>
              <w:top w:val="single" w:sz="4" w:space="0" w:color="auto"/>
              <w:left w:val="single" w:sz="4" w:space="0" w:color="auto"/>
              <w:bottom w:val="single" w:sz="4" w:space="0" w:color="auto"/>
              <w:right w:val="single" w:sz="4" w:space="0" w:color="auto"/>
            </w:tcBorders>
            <w:shd w:val="clear" w:color="auto" w:fill="auto"/>
            <w:hideMark/>
          </w:tcPr>
          <w:p w14:paraId="755124A9" w14:textId="1E61464F" w:rsidR="0011558A" w:rsidRPr="00F9134B" w:rsidRDefault="00CE3CC3" w:rsidP="00F9134B">
            <w:pPr>
              <w:pStyle w:val="ListParagraph"/>
              <w:spacing w:before="0" w:beforeAutospacing="0" w:afterAutospacing="0"/>
              <w:ind w:left="0"/>
              <w:rPr>
                <w:rFonts w:ascii="Cambria" w:hAnsi="Cambria"/>
              </w:rPr>
            </w:pPr>
            <w:r w:rsidRPr="00F9134B">
              <w:rPr>
                <w:rFonts w:ascii="Cambria" w:hAnsi="Cambria"/>
              </w:rPr>
              <w:t>15</w:t>
            </w:r>
            <w:r w:rsidR="0011558A" w:rsidRPr="00F9134B">
              <w:rPr>
                <w:rFonts w:ascii="Cambria" w:hAnsi="Cambria"/>
              </w:rPr>
              <w:t xml:space="preserve">% - Out of 33 chapters only </w:t>
            </w:r>
            <w:r w:rsidR="00BA145C" w:rsidRPr="00F9134B">
              <w:rPr>
                <w:rFonts w:ascii="Cambria" w:hAnsi="Cambria"/>
              </w:rPr>
              <w:t>5</w:t>
            </w:r>
            <w:r w:rsidR="0011558A" w:rsidRPr="00F9134B">
              <w:rPr>
                <w:rFonts w:ascii="Cambria" w:hAnsi="Cambria"/>
              </w:rPr>
              <w:t>(</w:t>
            </w:r>
            <w:r w:rsidR="00BA145C" w:rsidRPr="00F9134B">
              <w:rPr>
                <w:rFonts w:ascii="Cambria" w:hAnsi="Cambria"/>
              </w:rPr>
              <w:t>five</w:t>
            </w:r>
            <w:r w:rsidR="0011558A" w:rsidRPr="00F9134B">
              <w:rPr>
                <w:rFonts w:ascii="Cambria" w:hAnsi="Cambria"/>
              </w:rPr>
              <w:t xml:space="preserve">) are somehow gender mainstreamed. </w:t>
            </w:r>
          </w:p>
          <w:p w14:paraId="44F84E45" w14:textId="77777777" w:rsidR="00CE3CC3" w:rsidRPr="00F9134B" w:rsidRDefault="00CE3CC3" w:rsidP="00F9134B">
            <w:pPr>
              <w:pStyle w:val="ListParagraph"/>
              <w:numPr>
                <w:ilvl w:val="0"/>
                <w:numId w:val="4"/>
              </w:numPr>
              <w:spacing w:before="0" w:beforeAutospacing="0" w:afterAutospacing="0"/>
              <w:ind w:firstLine="0"/>
              <w:jc w:val="left"/>
              <w:rPr>
                <w:rFonts w:ascii="Cambria" w:hAnsi="Cambria"/>
              </w:rPr>
            </w:pPr>
            <w:r w:rsidRPr="00F9134B">
              <w:rPr>
                <w:rFonts w:ascii="Cambria" w:hAnsi="Cambria"/>
              </w:rPr>
              <w:t xml:space="preserve">Chapter 18: Statistics </w:t>
            </w:r>
          </w:p>
          <w:p w14:paraId="04DF960B" w14:textId="77777777" w:rsidR="00CE3CC3" w:rsidRPr="00F9134B" w:rsidRDefault="00CE3CC3" w:rsidP="00F9134B">
            <w:pPr>
              <w:pStyle w:val="ListParagraph"/>
              <w:numPr>
                <w:ilvl w:val="0"/>
                <w:numId w:val="4"/>
              </w:numPr>
              <w:spacing w:before="0" w:beforeAutospacing="0" w:afterAutospacing="0"/>
              <w:ind w:firstLine="0"/>
              <w:jc w:val="left"/>
              <w:rPr>
                <w:rFonts w:ascii="Cambria" w:hAnsi="Cambria"/>
              </w:rPr>
            </w:pPr>
            <w:r w:rsidRPr="00F9134B">
              <w:rPr>
                <w:rFonts w:ascii="Cambria" w:hAnsi="Cambria"/>
              </w:rPr>
              <w:t>Chapter 19: Social policy and employment</w:t>
            </w:r>
          </w:p>
          <w:p w14:paraId="108BE9D5" w14:textId="77777777" w:rsidR="0011558A" w:rsidRPr="00F9134B" w:rsidRDefault="0011558A" w:rsidP="00F9134B">
            <w:pPr>
              <w:pStyle w:val="ListParagraph"/>
              <w:numPr>
                <w:ilvl w:val="0"/>
                <w:numId w:val="4"/>
              </w:numPr>
              <w:spacing w:before="0" w:beforeAutospacing="0" w:afterAutospacing="0"/>
              <w:ind w:firstLine="0"/>
              <w:jc w:val="left"/>
              <w:rPr>
                <w:rFonts w:ascii="Cambria" w:hAnsi="Cambria"/>
              </w:rPr>
            </w:pPr>
            <w:r w:rsidRPr="00F9134B">
              <w:rPr>
                <w:rFonts w:ascii="Cambria" w:hAnsi="Cambria"/>
              </w:rPr>
              <w:t>Chapter 23: Judiciary and fundamental rights</w:t>
            </w:r>
          </w:p>
          <w:p w14:paraId="62964EF1" w14:textId="77777777" w:rsidR="00CE3CC3" w:rsidRPr="00F9134B" w:rsidRDefault="00CE3CC3" w:rsidP="00F9134B">
            <w:pPr>
              <w:pStyle w:val="ListParagraph"/>
              <w:numPr>
                <w:ilvl w:val="0"/>
                <w:numId w:val="4"/>
              </w:numPr>
              <w:spacing w:before="0" w:beforeAutospacing="0" w:afterAutospacing="0"/>
              <w:ind w:firstLine="0"/>
              <w:jc w:val="left"/>
              <w:rPr>
                <w:rFonts w:ascii="Cambria" w:hAnsi="Cambria"/>
              </w:rPr>
            </w:pPr>
            <w:r w:rsidRPr="00F9134B">
              <w:rPr>
                <w:rFonts w:ascii="Cambria" w:hAnsi="Cambria"/>
              </w:rPr>
              <w:t>Chapter 24 – Justice Freedom and Security</w:t>
            </w:r>
          </w:p>
          <w:p w14:paraId="3B5F6717" w14:textId="77777777" w:rsidR="0011558A" w:rsidRPr="00F9134B" w:rsidRDefault="00CE3CC3" w:rsidP="00F9134B">
            <w:pPr>
              <w:pStyle w:val="ListParagraph"/>
              <w:numPr>
                <w:ilvl w:val="0"/>
                <w:numId w:val="4"/>
              </w:numPr>
              <w:spacing w:before="0" w:beforeAutospacing="0" w:afterAutospacing="0"/>
              <w:ind w:firstLine="0"/>
              <w:jc w:val="left"/>
              <w:rPr>
                <w:rFonts w:ascii="Cambria" w:hAnsi="Cambria"/>
              </w:rPr>
            </w:pPr>
            <w:r w:rsidRPr="00F9134B">
              <w:rPr>
                <w:rFonts w:ascii="Cambria" w:hAnsi="Cambria"/>
              </w:rPr>
              <w:t xml:space="preserve">Chapter 28: Consumer and Health Protection  </w:t>
            </w:r>
          </w:p>
        </w:tc>
      </w:tr>
      <w:tr w:rsidR="007F6A74" w:rsidRPr="00F9134B" w14:paraId="114648E8" w14:textId="77777777" w:rsidTr="1FF48150">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41BF04E3"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Number of official recommendations on gender equality included in the Country Report</w:t>
            </w:r>
          </w:p>
        </w:tc>
        <w:tc>
          <w:tcPr>
            <w:tcW w:w="6228" w:type="dxa"/>
            <w:tcBorders>
              <w:top w:val="single" w:sz="4" w:space="0" w:color="auto"/>
              <w:left w:val="single" w:sz="4" w:space="0" w:color="auto"/>
              <w:bottom w:val="single" w:sz="4" w:space="0" w:color="auto"/>
              <w:right w:val="single" w:sz="4" w:space="0" w:color="auto"/>
            </w:tcBorders>
            <w:shd w:val="clear" w:color="auto" w:fill="auto"/>
            <w:hideMark/>
          </w:tcPr>
          <w:p w14:paraId="582B541A" w14:textId="77777777" w:rsidR="0011558A" w:rsidRPr="00F9134B" w:rsidRDefault="0011558A" w:rsidP="00F9134B">
            <w:pPr>
              <w:spacing w:before="0" w:beforeAutospacing="0" w:after="0" w:afterAutospacing="0"/>
              <w:rPr>
                <w:rFonts w:eastAsia="Calibri"/>
              </w:rPr>
            </w:pPr>
            <w:r w:rsidRPr="00F9134B">
              <w:rPr>
                <w:rFonts w:eastAsia="Calibri"/>
              </w:rPr>
              <w:t xml:space="preserve">1 recommendation </w:t>
            </w:r>
            <w:r w:rsidR="00CE3CC3" w:rsidRPr="00F9134B">
              <w:rPr>
                <w:rFonts w:eastAsia="Calibri"/>
              </w:rPr>
              <w:t>(</w:t>
            </w:r>
            <w:r w:rsidR="00CE3CC3" w:rsidRPr="00F9134B">
              <w:t>Chapter 28: Consumer and Health Protection)</w:t>
            </w:r>
          </w:p>
        </w:tc>
      </w:tr>
      <w:tr w:rsidR="007F6A74" w:rsidRPr="00F9134B" w14:paraId="468EE2A0" w14:textId="77777777" w:rsidTr="1FF48150">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5067AF7E"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Number of other recommendations with a gender perspective included in the narrative of Chapters</w:t>
            </w:r>
          </w:p>
        </w:tc>
        <w:tc>
          <w:tcPr>
            <w:tcW w:w="6228" w:type="dxa"/>
            <w:tcBorders>
              <w:top w:val="single" w:sz="4" w:space="0" w:color="auto"/>
              <w:left w:val="single" w:sz="4" w:space="0" w:color="auto"/>
              <w:bottom w:val="single" w:sz="4" w:space="0" w:color="auto"/>
              <w:right w:val="single" w:sz="4" w:space="0" w:color="auto"/>
            </w:tcBorders>
            <w:shd w:val="clear" w:color="auto" w:fill="auto"/>
            <w:hideMark/>
          </w:tcPr>
          <w:p w14:paraId="225C35F6" w14:textId="1A6926DD" w:rsidR="0011558A" w:rsidRPr="00F9134B" w:rsidRDefault="00BA145C" w:rsidP="00F9134B">
            <w:pPr>
              <w:spacing w:before="0" w:beforeAutospacing="0" w:after="0" w:afterAutospacing="0"/>
              <w:rPr>
                <w:rFonts w:eastAsia="Calibri"/>
              </w:rPr>
            </w:pPr>
            <w:r w:rsidRPr="00F9134B">
              <w:rPr>
                <w:rFonts w:eastAsia="Calibri"/>
              </w:rPr>
              <w:t>5</w:t>
            </w:r>
          </w:p>
        </w:tc>
      </w:tr>
      <w:tr w:rsidR="007F6A74" w:rsidRPr="00F9134B" w14:paraId="42B64250" w14:textId="77777777" w:rsidTr="1FF48150">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7299002B"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Extent to which Country Report uses sufficiently sex-disaggregated data</w:t>
            </w:r>
          </w:p>
        </w:tc>
        <w:tc>
          <w:tcPr>
            <w:tcW w:w="6228" w:type="dxa"/>
            <w:tcBorders>
              <w:top w:val="single" w:sz="4" w:space="0" w:color="auto"/>
              <w:left w:val="single" w:sz="4" w:space="0" w:color="auto"/>
              <w:bottom w:val="single" w:sz="4" w:space="0" w:color="auto"/>
              <w:right w:val="single" w:sz="4" w:space="0" w:color="auto"/>
            </w:tcBorders>
            <w:shd w:val="clear" w:color="auto" w:fill="auto"/>
            <w:hideMark/>
          </w:tcPr>
          <w:p w14:paraId="72A86EF9" w14:textId="77777777" w:rsidR="0011558A" w:rsidRPr="00F9134B" w:rsidRDefault="003833B7" w:rsidP="00F9134B">
            <w:pPr>
              <w:spacing w:before="0" w:beforeAutospacing="0" w:after="0" w:afterAutospacing="0"/>
              <w:rPr>
                <w:rFonts w:eastAsia="Calibri"/>
              </w:rPr>
            </w:pPr>
            <w:r w:rsidRPr="00F9134B">
              <w:rPr>
                <w:rFonts w:eastAsia="Calibri"/>
              </w:rPr>
              <w:t>Moderately</w:t>
            </w:r>
            <w:r w:rsidR="0011558A" w:rsidRPr="00F9134B">
              <w:rPr>
                <w:rFonts w:eastAsia="Calibri"/>
              </w:rPr>
              <w:t xml:space="preserve"> </w:t>
            </w:r>
          </w:p>
        </w:tc>
      </w:tr>
      <w:tr w:rsidR="007F6A74" w:rsidRPr="00F9134B" w14:paraId="6337E308" w14:textId="77777777" w:rsidTr="1FF48150">
        <w:tc>
          <w:tcPr>
            <w:tcW w:w="3348" w:type="dxa"/>
            <w:tcBorders>
              <w:top w:val="single" w:sz="4" w:space="0" w:color="auto"/>
              <w:left w:val="single" w:sz="4" w:space="0" w:color="auto"/>
              <w:bottom w:val="single" w:sz="4" w:space="0" w:color="auto"/>
              <w:right w:val="single" w:sz="4" w:space="0" w:color="auto"/>
            </w:tcBorders>
            <w:shd w:val="clear" w:color="auto" w:fill="auto"/>
            <w:hideMark/>
          </w:tcPr>
          <w:p w14:paraId="651ADAA4"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Extent to which issues recommended by women’s organisations are included in the Country Report, based on your knowledge</w:t>
            </w:r>
          </w:p>
        </w:tc>
        <w:tc>
          <w:tcPr>
            <w:tcW w:w="6228" w:type="dxa"/>
            <w:tcBorders>
              <w:top w:val="single" w:sz="4" w:space="0" w:color="auto"/>
              <w:left w:val="single" w:sz="4" w:space="0" w:color="auto"/>
              <w:bottom w:val="single" w:sz="4" w:space="0" w:color="auto"/>
              <w:right w:val="single" w:sz="4" w:space="0" w:color="auto"/>
            </w:tcBorders>
            <w:shd w:val="clear" w:color="auto" w:fill="auto"/>
            <w:hideMark/>
          </w:tcPr>
          <w:p w14:paraId="5242AEC7" w14:textId="77777777" w:rsidR="0011558A" w:rsidRPr="00F9134B" w:rsidRDefault="003833B7" w:rsidP="00F9134B">
            <w:pPr>
              <w:spacing w:before="0" w:beforeAutospacing="0" w:after="0" w:afterAutospacing="0"/>
              <w:rPr>
                <w:rFonts w:eastAsia="Calibri"/>
              </w:rPr>
            </w:pPr>
            <w:r w:rsidRPr="00F9134B">
              <w:rPr>
                <w:rFonts w:eastAsia="Calibri"/>
              </w:rPr>
              <w:t>Moderately</w:t>
            </w:r>
            <w:r w:rsidR="0011558A" w:rsidRPr="00F9134B">
              <w:rPr>
                <w:rFonts w:eastAsia="Calibri"/>
              </w:rPr>
              <w:t xml:space="preserve"> </w:t>
            </w:r>
          </w:p>
        </w:tc>
      </w:tr>
    </w:tbl>
    <w:p w14:paraId="720D8278" w14:textId="77777777" w:rsidR="008D359F" w:rsidRPr="00F9134B" w:rsidRDefault="008D359F" w:rsidP="00F9134B">
      <w:pPr>
        <w:spacing w:before="0" w:beforeAutospacing="0" w:after="0" w:afterAutospacing="0"/>
      </w:pPr>
    </w:p>
    <w:p w14:paraId="0B532A43" w14:textId="708D4D46" w:rsidR="0011558A" w:rsidRPr="00F9134B" w:rsidRDefault="0011558A" w:rsidP="00F9134B">
      <w:pPr>
        <w:spacing w:before="0" w:beforeAutospacing="0" w:after="0" w:afterAutospacing="0"/>
      </w:pPr>
      <w:r w:rsidRPr="00F9134B">
        <w:t>This section</w:t>
      </w:r>
      <w:r w:rsidR="0009209B" w:rsidRPr="00F9134B">
        <w:t xml:space="preserve"> provides an overview of the extent to which</w:t>
      </w:r>
      <w:r w:rsidRPr="00F9134B">
        <w:t xml:space="preserve"> the</w:t>
      </w:r>
      <w:r w:rsidR="0009209B" w:rsidRPr="00F9134B">
        <w:t xml:space="preserve"> 2021</w:t>
      </w:r>
      <w:r w:rsidRPr="00F9134B">
        <w:t xml:space="preserve"> EU </w:t>
      </w:r>
      <w:r w:rsidR="009D5BDD" w:rsidRPr="00F9134B">
        <w:t>country</w:t>
      </w:r>
      <w:r w:rsidRPr="00F9134B">
        <w:t xml:space="preserve"> report for Albania was gender-mainstreamed. As such</w:t>
      </w:r>
      <w:r w:rsidR="009D5BDD" w:rsidRPr="00F9134B">
        <w:t>, it</w:t>
      </w:r>
      <w:r w:rsidRPr="00F9134B">
        <w:t xml:space="preserve"> will be use</w:t>
      </w:r>
      <w:r w:rsidR="009D5BDD" w:rsidRPr="00F9134B">
        <w:t>d</w:t>
      </w:r>
      <w:r w:rsidRPr="00F9134B">
        <w:t xml:space="preserve"> as baseline for future analysis </w:t>
      </w:r>
      <w:r w:rsidR="009D5BDD" w:rsidRPr="00F9134B">
        <w:t>in the framework of this project to assess</w:t>
      </w:r>
      <w:r w:rsidRPr="00F9134B">
        <w:t xml:space="preserve"> progress</w:t>
      </w:r>
      <w:r w:rsidR="00BA145C" w:rsidRPr="00F9134B">
        <w:t xml:space="preserve"> of gender equality in the country report</w:t>
      </w:r>
      <w:r w:rsidRPr="00F9134B">
        <w:t>.</w:t>
      </w:r>
    </w:p>
    <w:p w14:paraId="1088F8C7" w14:textId="77777777" w:rsidR="007F7185" w:rsidRPr="00F9134B" w:rsidRDefault="007F7185" w:rsidP="00F9134B">
      <w:pPr>
        <w:spacing w:before="0" w:beforeAutospacing="0" w:after="0" w:afterAutospacing="0"/>
      </w:pPr>
    </w:p>
    <w:p w14:paraId="1972DBAB" w14:textId="78E2B821" w:rsidR="00C02F2E" w:rsidRPr="00F9134B" w:rsidRDefault="0011558A" w:rsidP="00F9134B">
      <w:pPr>
        <w:spacing w:before="0" w:beforeAutospacing="0" w:after="0" w:afterAutospacing="0"/>
      </w:pPr>
      <w:r w:rsidRPr="00F9134B">
        <w:t>The term “gender” it is mentioned 28 times, the term “gender equality” is mentioned 11 times within the report</w:t>
      </w:r>
      <w:r w:rsidR="004904DC" w:rsidRPr="00F9134B">
        <w:t xml:space="preserve"> and the word</w:t>
      </w:r>
      <w:r w:rsidR="00DA4E8A" w:rsidRPr="00F9134B">
        <w:t>s</w:t>
      </w:r>
      <w:r w:rsidR="004904DC" w:rsidRPr="00F9134B">
        <w:t xml:space="preserve"> “women</w:t>
      </w:r>
      <w:r w:rsidR="00DA4E8A" w:rsidRPr="00F9134B">
        <w:t>/girls</w:t>
      </w:r>
      <w:r w:rsidR="004904DC" w:rsidRPr="00F9134B">
        <w:t>” is mentioned 44 times, mostly in sex-disaggregated data.</w:t>
      </w:r>
      <w:r w:rsidRPr="00F9134B">
        <w:t xml:space="preserve"> In </w:t>
      </w:r>
      <w:r w:rsidRPr="00F9134B">
        <w:lastRenderedPageBreak/>
        <w:t>accordance with EU commitments to gender mainstreaming deriving from the EU Treaties</w:t>
      </w:r>
      <w:r w:rsidRPr="00F9134B">
        <w:footnoteReference w:id="5"/>
      </w:r>
      <w:r w:rsidRPr="00F9134B">
        <w:t>, all chapters of the Report should be gender</w:t>
      </w:r>
      <w:r w:rsidR="00355E71" w:rsidRPr="00F9134B">
        <w:t>-m</w:t>
      </w:r>
      <w:r w:rsidRPr="00F9134B">
        <w:t>ainstreamed</w:t>
      </w:r>
      <w:r w:rsidR="00455433" w:rsidRPr="00F9134B">
        <w:t>.</w:t>
      </w:r>
      <w:r w:rsidRPr="00F9134B">
        <w:t xml:space="preserve"> </w:t>
      </w:r>
      <w:r w:rsidR="004904DC" w:rsidRPr="00F9134B">
        <w:t xml:space="preserve">However, our analysis shows out of the 33 chapters, 15% are gender mainstreamed and addressing issues of gender equality such as gender-based violence, discrimination, social inclusion policies and support. Specifically </w:t>
      </w:r>
      <w:r w:rsidRPr="00F9134B">
        <w:t>Chapter 23: Judiciary and fundamental rights, mostly under the gender equality section</w:t>
      </w:r>
      <w:r w:rsidR="004904DC" w:rsidRPr="00F9134B">
        <w:t>, which goes more into details of advances in women’s rights and the gender machinery in Albania;</w:t>
      </w:r>
      <w:r w:rsidRPr="00F9134B">
        <w:t xml:space="preserve"> Chapter 18: Statistics</w:t>
      </w:r>
      <w:r w:rsidR="004904DC" w:rsidRPr="00F9134B">
        <w:t>, which contains detailed information on the collection of sex-disaggregated data in Albania</w:t>
      </w:r>
      <w:r w:rsidR="00E105FC" w:rsidRPr="00F9134B">
        <w:t xml:space="preserve">; </w:t>
      </w:r>
      <w:r w:rsidRPr="00F9134B">
        <w:t>Chapter 19: Social policy and employment</w:t>
      </w:r>
      <w:r w:rsidR="004904DC" w:rsidRPr="00F9134B">
        <w:t>, which is mainstreamed throughout almost all its sub-topics and Chapter 28: Consumer and Health Protection, which contains the only gender-targeted recommendation in the report</w:t>
      </w:r>
      <w:r w:rsidR="00BA145C" w:rsidRPr="00F9134B">
        <w:t>, which calls on the government to “Continue to improve access to health and services for disadvantaged populations, including Roma and Egyptian minorities, older people, people with pre-existing mental health problems, people with disabilities; and populations in rural or remote areas, notably for women and girls belonging to these groups who are often subjected to multiple forms of discrimination.”</w:t>
      </w:r>
      <w:r w:rsidR="00BA145C" w:rsidRPr="00F9134B">
        <w:rPr>
          <w:rStyle w:val="FootnoteReference"/>
        </w:rPr>
        <w:footnoteReference w:id="6"/>
      </w:r>
      <w:r w:rsidR="00BA145C" w:rsidRPr="00F9134B">
        <w:t xml:space="preserve"> </w:t>
      </w:r>
      <w:r w:rsidR="004904DC" w:rsidRPr="00F9134B">
        <w:t>.</w:t>
      </w:r>
      <w:r w:rsidR="00E105FC" w:rsidRPr="00F9134B">
        <w:t xml:space="preserve"> </w:t>
      </w:r>
    </w:p>
    <w:p w14:paraId="03EB23B7" w14:textId="77777777" w:rsidR="00DA4E8A" w:rsidRPr="00F9134B" w:rsidRDefault="00DA4E8A" w:rsidP="00F9134B">
      <w:pPr>
        <w:spacing w:before="0" w:beforeAutospacing="0" w:after="0" w:afterAutospacing="0"/>
      </w:pPr>
    </w:p>
    <w:p w14:paraId="6A56D33F" w14:textId="6EC5CCEA" w:rsidR="00C02F2E" w:rsidRPr="00F9134B" w:rsidRDefault="004904DC" w:rsidP="00F9134B">
      <w:pPr>
        <w:spacing w:before="0" w:beforeAutospacing="0" w:after="0" w:afterAutospacing="0"/>
      </w:pPr>
      <w:r w:rsidRPr="00F9134B">
        <w:t xml:space="preserve">However, there are other recommendations related to gender equality in the narrative of the chapters. For instance, the summary of the report on page </w:t>
      </w:r>
      <w:r w:rsidR="0011558A" w:rsidRPr="00F9134B">
        <w:t xml:space="preserve">6 (six) </w:t>
      </w:r>
      <w:r w:rsidR="00510BD1" w:rsidRPr="00F9134B">
        <w:t>recommends Albania</w:t>
      </w:r>
      <w:r w:rsidR="0011558A" w:rsidRPr="00F9134B">
        <w:t xml:space="preserve"> </w:t>
      </w:r>
      <w:r w:rsidR="00510BD1" w:rsidRPr="00F9134B">
        <w:t>to make</w:t>
      </w:r>
      <w:r w:rsidR="0011558A" w:rsidRPr="00F9134B">
        <w:t xml:space="preserve"> efforts to ensure adequate state funding to implement </w:t>
      </w:r>
      <w:r w:rsidR="00510BD1" w:rsidRPr="00F9134B">
        <w:t>the new National Strategy on Gender Equality (2021-</w:t>
      </w:r>
      <w:r w:rsidR="000076BA" w:rsidRPr="00F9134B">
        <w:t>2030) at</w:t>
      </w:r>
      <w:r w:rsidR="0011558A" w:rsidRPr="00F9134B">
        <w:t xml:space="preserve"> central and local levels. </w:t>
      </w:r>
      <w:r w:rsidR="00510BD1" w:rsidRPr="00F9134B">
        <w:t>In addition, the EU progress report recommends that …"</w:t>
      </w:r>
      <w:r w:rsidR="0011558A" w:rsidRPr="00F9134B">
        <w:t>Efforts are also required to ensure that all national strategies at central and local level are gender mainstreamed and apply gender responsive budgeting”.</w:t>
      </w:r>
      <w:r w:rsidR="00510BD1" w:rsidRPr="00F9134B">
        <w:rPr>
          <w:rStyle w:val="FootnoteReference"/>
        </w:rPr>
        <w:footnoteReference w:id="7"/>
      </w:r>
      <w:r w:rsidR="0089496C" w:rsidRPr="00F9134B">
        <w:t xml:space="preserve"> </w:t>
      </w:r>
      <w:r w:rsidR="00C02F2E" w:rsidRPr="00F9134B">
        <w:t xml:space="preserve">Chapter 23 also contains two recommendations in the text, therefore not official recommendations as per the methodological note. The recommendations refer to efforts to ensure monitoring of the practice (on gender sex selection), and provision of specialised and reintegration services for victims and the work on case management should be further strengthened. While not an official recommendation, the report mentions that “The electoral legislation needs to further clarify the sequencing of women candidates in lists to enhance their presence in winning positions”, which could be considered a recommendation related to gender equality. </w:t>
      </w:r>
    </w:p>
    <w:p w14:paraId="35531802" w14:textId="77777777" w:rsidR="00DA4E8A" w:rsidRPr="00F9134B" w:rsidRDefault="00DA4E8A" w:rsidP="00F9134B">
      <w:pPr>
        <w:spacing w:before="0" w:beforeAutospacing="0" w:after="0" w:afterAutospacing="0"/>
      </w:pPr>
    </w:p>
    <w:p w14:paraId="1FF30FB3" w14:textId="57C364A2" w:rsidR="00E85718" w:rsidRPr="00F9134B" w:rsidRDefault="00C02F2E" w:rsidP="00F9134B">
      <w:pPr>
        <w:spacing w:before="0" w:beforeAutospacing="0" w:after="0" w:afterAutospacing="0"/>
      </w:pPr>
      <w:r w:rsidRPr="00F9134B">
        <w:t xml:space="preserve">The report contains sex-disaggregated data in different section. First and </w:t>
      </w:r>
      <w:r w:rsidR="000076BA" w:rsidRPr="00F9134B">
        <w:t>foremost,</w:t>
      </w:r>
      <w:r w:rsidRPr="00F9134B">
        <w:t xml:space="preserve"> in relation </w:t>
      </w:r>
      <w:r w:rsidR="000076BA" w:rsidRPr="00F9134B">
        <w:t>to women’s</w:t>
      </w:r>
      <w:r w:rsidRPr="00F9134B">
        <w:t xml:space="preserve"> political representation at local and central level (page 11 and 13 of the report).</w:t>
      </w:r>
      <w:r w:rsidRPr="00F9134B">
        <w:rPr>
          <w:rStyle w:val="FootnoteReference"/>
        </w:rPr>
        <w:footnoteReference w:id="8"/>
      </w:r>
      <w:r w:rsidRPr="00F9134B">
        <w:t xml:space="preserve">  Similar data is provided for women’s representation in parliament after the latest parliamentary elections.</w:t>
      </w:r>
      <w:r w:rsidRPr="00F9134B">
        <w:rPr>
          <w:rStyle w:val="FootnoteReference"/>
        </w:rPr>
        <w:footnoteReference w:id="9"/>
      </w:r>
      <w:r w:rsidRPr="00F9134B">
        <w:t xml:space="preserve"> On gender-based violence the only sex-disaggregated data refer to the number of women killed in relation to domestic </w:t>
      </w:r>
      <w:r w:rsidR="000076BA" w:rsidRPr="00F9134B">
        <w:t>violence.</w:t>
      </w:r>
      <w:r w:rsidRPr="00F9134B">
        <w:t xml:space="preserve"> </w:t>
      </w:r>
      <w:r w:rsidR="0089496C" w:rsidRPr="00F9134B">
        <w:rPr>
          <w:rStyle w:val="FootnoteReference"/>
        </w:rPr>
        <w:footnoteReference w:id="10"/>
      </w:r>
      <w:r w:rsidRPr="00F9134B">
        <w:t xml:space="preserve">Data is also provided on women’s labour market participation, mostly on the employment gap between women and men, </w:t>
      </w:r>
      <w:r w:rsidR="0089496C" w:rsidRPr="00F9134B">
        <w:rPr>
          <w:rStyle w:val="FootnoteReference"/>
        </w:rPr>
        <w:footnoteReference w:id="11"/>
      </w:r>
      <w:r w:rsidRPr="00F9134B">
        <w:t>which is further detailed in Chapter 19 on social policy</w:t>
      </w:r>
      <w:r w:rsidR="00455433" w:rsidRPr="00F9134B">
        <w:t>.</w:t>
      </w:r>
    </w:p>
    <w:p w14:paraId="4AAE0A83" w14:textId="1CF62EDC" w:rsidR="008D5D10" w:rsidRPr="00F9134B" w:rsidRDefault="00455433" w:rsidP="00F9134B">
      <w:pPr>
        <w:spacing w:before="0" w:beforeAutospacing="0" w:after="0" w:afterAutospacing="0"/>
      </w:pPr>
      <w:r w:rsidRPr="00F9134B">
        <w:t>In addition</w:t>
      </w:r>
      <w:r w:rsidR="00A26665" w:rsidRPr="00F9134B">
        <w:t>,</w:t>
      </w:r>
      <w:r w:rsidRPr="00F9134B">
        <w:t xml:space="preserve"> the </w:t>
      </w:r>
      <w:r w:rsidR="0089496C" w:rsidRPr="00F9134B">
        <w:t>report mentions</w:t>
      </w:r>
      <w:r w:rsidRPr="00F9134B">
        <w:t xml:space="preserve"> the Gender Equality Index</w:t>
      </w:r>
      <w:r w:rsidR="0089496C" w:rsidRPr="00F9134B">
        <w:t xml:space="preserve"> (GEI)</w:t>
      </w:r>
      <w:r w:rsidR="0089496C" w:rsidRPr="00F9134B">
        <w:rPr>
          <w:rStyle w:val="FootnoteReference"/>
        </w:rPr>
        <w:footnoteReference w:id="12"/>
      </w:r>
      <w:r w:rsidRPr="00F9134B">
        <w:t>for Albania, published by INSTAT in 2020 for the first time,</w:t>
      </w:r>
      <w:r w:rsidR="0011558A" w:rsidRPr="00F9134B">
        <w:rPr>
          <w:rStyle w:val="FootnoteReference"/>
          <w:rFonts w:eastAsia="Calibri"/>
        </w:rPr>
        <w:footnoteReference w:id="13"/>
      </w:r>
      <w:r w:rsidRPr="00F9134B">
        <w:t xml:space="preserve"> which provides an analysis of the gender differences </w:t>
      </w:r>
      <w:r w:rsidR="00A26665" w:rsidRPr="00F9134B">
        <w:t>b</w:t>
      </w:r>
      <w:r w:rsidRPr="00F9134B">
        <w:t xml:space="preserve">etween men and </w:t>
      </w:r>
      <w:r w:rsidRPr="00F9134B">
        <w:lastRenderedPageBreak/>
        <w:t>women in the domains of knowledge, money</w:t>
      </w:r>
      <w:r w:rsidR="00A26665" w:rsidRPr="00F9134B">
        <w:t>, work, health</w:t>
      </w:r>
      <w:r w:rsidRPr="00F9134B">
        <w:t xml:space="preserve"> and time</w:t>
      </w:r>
      <w:r w:rsidR="0089496C" w:rsidRPr="00F9134B">
        <w:t xml:space="preserve">. In addition, </w:t>
      </w:r>
      <w:r w:rsidR="000076BA" w:rsidRPr="00F9134B">
        <w:t>GEI provides</w:t>
      </w:r>
      <w:r w:rsidR="00A26665" w:rsidRPr="00F9134B">
        <w:t xml:space="preserve"> important indicators to better understand the differentiated challenges that women and men face in different aspects of the economy and society</w:t>
      </w:r>
      <w:r w:rsidRPr="00F9134B">
        <w:t xml:space="preserve">. </w:t>
      </w:r>
    </w:p>
    <w:p w14:paraId="01731681" w14:textId="2AAEF88F" w:rsidR="1FF48150" w:rsidRPr="00F9134B" w:rsidRDefault="1FF48150" w:rsidP="00F9134B">
      <w:pPr>
        <w:spacing w:before="0" w:beforeAutospacing="0" w:after="0" w:afterAutospacing="0"/>
      </w:pPr>
    </w:p>
    <w:p w14:paraId="5E509557" w14:textId="2CBEBD3B" w:rsidR="0011558A" w:rsidRPr="00F9134B" w:rsidRDefault="008D5D10" w:rsidP="00F9134B">
      <w:pPr>
        <w:spacing w:before="0" w:beforeAutospacing="0" w:after="0" w:afterAutospacing="0"/>
      </w:pPr>
      <w:r w:rsidRPr="00F9134B">
        <w:t>On whether</w:t>
      </w:r>
      <w:r w:rsidR="0011558A" w:rsidRPr="00F9134B">
        <w:t xml:space="preserve"> the report includes the issues recommended by women’s organisations, based on our knowledge</w:t>
      </w:r>
      <w:r w:rsidRPr="00F9134B">
        <w:t>,</w:t>
      </w:r>
      <w:r w:rsidR="0011558A" w:rsidRPr="00F9134B">
        <w:t xml:space="preserve"> a concern by the Gender Alliance for Development </w:t>
      </w:r>
      <w:r w:rsidR="008B7AF6" w:rsidRPr="00F9134B">
        <w:t>Centre (GADC)</w:t>
      </w:r>
      <w:r w:rsidR="0011558A" w:rsidRPr="00F9134B">
        <w:t>, a member of the Albanian Women Empowerment Network</w:t>
      </w:r>
      <w:r w:rsidR="008B7AF6" w:rsidRPr="00F9134B">
        <w:t xml:space="preserve"> (AWEN)</w:t>
      </w:r>
      <w:r w:rsidRPr="00F9134B">
        <w:t>, is included on the page 96</w:t>
      </w:r>
      <w:r w:rsidR="0011558A" w:rsidRPr="00F9134B">
        <w:t>: “Concerns remain over the proportion of women in the informal labour market, especially the textile and shoe industries, without appropriate labour and social protection. There are also concerns over the lack of disaggregated data on the number of working women in the informal economy.”</w:t>
      </w:r>
      <w:r w:rsidR="00C24B43" w:rsidRPr="00F9134B">
        <w:t xml:space="preserve"> Other issues on gender equality, such as progress on </w:t>
      </w:r>
      <w:r w:rsidR="00CB158E" w:rsidRPr="00F9134B">
        <w:t>gender-based</w:t>
      </w:r>
      <w:r w:rsidR="00C24B43" w:rsidRPr="00F9134B">
        <w:t xml:space="preserve"> violence mentioned in the report mirror the general recommendations and stances of WCSOs</w:t>
      </w:r>
      <w:r w:rsidR="003963AD" w:rsidRPr="00F9134B">
        <w:t xml:space="preserve">, such as members of AWEN </w:t>
      </w:r>
      <w:r w:rsidR="00C24B43" w:rsidRPr="00F9134B">
        <w:t xml:space="preserve">in Albania. </w:t>
      </w:r>
    </w:p>
    <w:p w14:paraId="547E0126" w14:textId="77777777" w:rsidR="00CB158E" w:rsidRPr="00F9134B" w:rsidRDefault="00CB158E" w:rsidP="00F9134B">
      <w:pPr>
        <w:spacing w:before="0" w:beforeAutospacing="0" w:after="0" w:afterAutospacing="0"/>
      </w:pPr>
    </w:p>
    <w:p w14:paraId="00FEE0C8"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jc w:val="left"/>
        <w:outlineLvl w:val="1"/>
        <w:rPr>
          <w:rFonts w:cs="Arial"/>
          <w:b/>
          <w:bCs/>
          <w:caps/>
          <w:spacing w:val="15"/>
        </w:rPr>
      </w:pPr>
      <w:r w:rsidRPr="00F9134B">
        <w:rPr>
          <w:rFonts w:cs="Arial"/>
          <w:b/>
          <w:bCs/>
          <w:caps/>
          <w:spacing w:val="15"/>
        </w:rPr>
        <w:t>Criterion B. Stabilisation and Association Committee meetings include gender issues</w:t>
      </w:r>
    </w:p>
    <w:p w14:paraId="4D020131" w14:textId="77777777" w:rsidR="0011558A" w:rsidRPr="00F9134B" w:rsidRDefault="0011558A" w:rsidP="00F9134B">
      <w:pPr>
        <w:spacing w:before="0" w:beforeAutospacing="0" w:after="0" w:afterAutospacing="0"/>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9"/>
        <w:gridCol w:w="2337"/>
      </w:tblGrid>
      <w:tr w:rsidR="007F6A74" w:rsidRPr="00F9134B" w14:paraId="28EA16E0" w14:textId="77777777" w:rsidTr="1FF48150">
        <w:tc>
          <w:tcPr>
            <w:tcW w:w="7239" w:type="dxa"/>
            <w:tcBorders>
              <w:top w:val="single" w:sz="4" w:space="0" w:color="auto"/>
              <w:left w:val="single" w:sz="4" w:space="0" w:color="auto"/>
              <w:bottom w:val="single" w:sz="4" w:space="0" w:color="auto"/>
              <w:right w:val="single" w:sz="4" w:space="0" w:color="auto"/>
            </w:tcBorders>
            <w:shd w:val="clear" w:color="auto" w:fill="auto"/>
            <w:hideMark/>
          </w:tcPr>
          <w:p w14:paraId="60F498E8" w14:textId="6B589D07" w:rsidR="0011558A" w:rsidRPr="00F9134B" w:rsidRDefault="0011558A" w:rsidP="00F9134B">
            <w:pPr>
              <w:pStyle w:val="ListParagraph"/>
              <w:numPr>
                <w:ilvl w:val="0"/>
                <w:numId w:val="3"/>
              </w:numPr>
              <w:spacing w:before="0" w:beforeAutospacing="0" w:afterAutospacing="0"/>
              <w:jc w:val="left"/>
              <w:rPr>
                <w:rFonts w:ascii="Cambria" w:hAnsi="Cambria"/>
              </w:rPr>
            </w:pPr>
            <w:r w:rsidRPr="00F9134B">
              <w:rPr>
                <w:rFonts w:ascii="Cambria" w:hAnsi="Cambria"/>
              </w:rPr>
              <w:t>% of SAA Committee meetings with gender equality issues on the agenda</w:t>
            </w:r>
          </w:p>
        </w:tc>
        <w:tc>
          <w:tcPr>
            <w:tcW w:w="2337" w:type="dxa"/>
            <w:tcBorders>
              <w:top w:val="single" w:sz="4" w:space="0" w:color="auto"/>
              <w:left w:val="single" w:sz="4" w:space="0" w:color="auto"/>
              <w:bottom w:val="single" w:sz="4" w:space="0" w:color="auto"/>
              <w:right w:val="single" w:sz="4" w:space="0" w:color="auto"/>
            </w:tcBorders>
            <w:shd w:val="clear" w:color="auto" w:fill="auto"/>
            <w:hideMark/>
          </w:tcPr>
          <w:p w14:paraId="229AD500" w14:textId="65A25102" w:rsidR="0011558A" w:rsidRPr="00F9134B" w:rsidRDefault="00397F94" w:rsidP="00F9134B">
            <w:pPr>
              <w:spacing w:before="0" w:beforeAutospacing="0" w:after="0" w:afterAutospacing="0"/>
              <w:rPr>
                <w:rFonts w:eastAsia="Calibri"/>
              </w:rPr>
            </w:pPr>
            <w:r w:rsidRPr="00F9134B">
              <w:rPr>
                <w:rFonts w:eastAsia="Calibri"/>
              </w:rPr>
              <w:t>Cannot be concluded</w:t>
            </w:r>
          </w:p>
        </w:tc>
      </w:tr>
      <w:tr w:rsidR="007F6A74" w:rsidRPr="00F9134B" w14:paraId="04D6F87A" w14:textId="77777777" w:rsidTr="1FF48150">
        <w:tc>
          <w:tcPr>
            <w:tcW w:w="7239" w:type="dxa"/>
            <w:tcBorders>
              <w:top w:val="single" w:sz="4" w:space="0" w:color="auto"/>
              <w:left w:val="single" w:sz="4" w:space="0" w:color="auto"/>
              <w:bottom w:val="single" w:sz="4" w:space="0" w:color="auto"/>
              <w:right w:val="single" w:sz="4" w:space="0" w:color="auto"/>
            </w:tcBorders>
            <w:shd w:val="clear" w:color="auto" w:fill="auto"/>
            <w:hideMark/>
          </w:tcPr>
          <w:p w14:paraId="377C59DB"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 of Sub-Committee meetings with gender equality issues on the agenda</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388FEF2A" w14:textId="7580DFB0" w:rsidR="0011558A" w:rsidRPr="00F9134B" w:rsidRDefault="009214D0" w:rsidP="00F9134B">
            <w:pPr>
              <w:spacing w:before="0" w:beforeAutospacing="0" w:after="0" w:afterAutospacing="0"/>
              <w:rPr>
                <w:rFonts w:eastAsia="Calibri"/>
              </w:rPr>
            </w:pPr>
            <w:r w:rsidRPr="00F9134B">
              <w:rPr>
                <w:rFonts w:eastAsia="Calibri"/>
              </w:rPr>
              <w:t xml:space="preserve"> </w:t>
            </w:r>
            <w:r w:rsidR="008B7AF6" w:rsidRPr="00F9134B">
              <w:rPr>
                <w:rFonts w:eastAsia="Calibri"/>
              </w:rPr>
              <w:t>Cannot be concluded</w:t>
            </w:r>
          </w:p>
        </w:tc>
      </w:tr>
      <w:tr w:rsidR="007F6A74" w:rsidRPr="00F9134B" w14:paraId="194C2D1B" w14:textId="77777777" w:rsidTr="1FF48150">
        <w:tc>
          <w:tcPr>
            <w:tcW w:w="7239" w:type="dxa"/>
            <w:tcBorders>
              <w:top w:val="single" w:sz="4" w:space="0" w:color="auto"/>
              <w:left w:val="single" w:sz="4" w:space="0" w:color="auto"/>
              <w:bottom w:val="single" w:sz="4" w:space="0" w:color="auto"/>
              <w:right w:val="single" w:sz="4" w:space="0" w:color="auto"/>
            </w:tcBorders>
            <w:shd w:val="clear" w:color="auto" w:fill="auto"/>
            <w:hideMark/>
          </w:tcPr>
          <w:p w14:paraId="4607081B"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Extent to which women’s organisations were consulted by the EU ahead of the sub-committee meetings</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6CEDEF5" w14:textId="6C12561A" w:rsidR="0011558A" w:rsidRPr="00F9134B" w:rsidRDefault="00E06CD2" w:rsidP="00F9134B">
            <w:pPr>
              <w:spacing w:before="0" w:beforeAutospacing="0" w:after="0" w:afterAutospacing="0"/>
              <w:rPr>
                <w:rFonts w:eastAsia="Calibri"/>
              </w:rPr>
            </w:pPr>
            <w:r w:rsidRPr="00F9134B">
              <w:rPr>
                <w:rFonts w:eastAsia="Calibri"/>
              </w:rPr>
              <w:t>Not at all</w:t>
            </w:r>
          </w:p>
        </w:tc>
      </w:tr>
      <w:tr w:rsidR="007F6A74" w:rsidRPr="00F9134B" w14:paraId="06CA5377" w14:textId="77777777" w:rsidTr="1FF48150">
        <w:tc>
          <w:tcPr>
            <w:tcW w:w="7239" w:type="dxa"/>
            <w:tcBorders>
              <w:top w:val="single" w:sz="4" w:space="0" w:color="auto"/>
              <w:left w:val="single" w:sz="4" w:space="0" w:color="auto"/>
              <w:bottom w:val="single" w:sz="4" w:space="0" w:color="auto"/>
              <w:right w:val="single" w:sz="4" w:space="0" w:color="auto"/>
            </w:tcBorders>
            <w:shd w:val="clear" w:color="auto" w:fill="auto"/>
            <w:hideMark/>
          </w:tcPr>
          <w:p w14:paraId="1A6B1EF5"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Extent to which SAA committee and sub-committee meetings conclusions attend to gender equality issues</w:t>
            </w:r>
          </w:p>
        </w:tc>
        <w:tc>
          <w:tcPr>
            <w:tcW w:w="2337" w:type="dxa"/>
            <w:tcBorders>
              <w:top w:val="single" w:sz="4" w:space="0" w:color="auto"/>
              <w:left w:val="single" w:sz="4" w:space="0" w:color="auto"/>
              <w:bottom w:val="single" w:sz="4" w:space="0" w:color="auto"/>
              <w:right w:val="single" w:sz="4" w:space="0" w:color="auto"/>
            </w:tcBorders>
            <w:shd w:val="clear" w:color="auto" w:fill="auto"/>
          </w:tcPr>
          <w:p w14:paraId="1A8F4EAF" w14:textId="7B78DF1B" w:rsidR="0011558A" w:rsidRPr="00F9134B" w:rsidRDefault="008B7AF6" w:rsidP="00F9134B">
            <w:pPr>
              <w:spacing w:before="0" w:beforeAutospacing="0" w:after="0" w:afterAutospacing="0"/>
              <w:rPr>
                <w:rFonts w:eastAsia="Calibri"/>
              </w:rPr>
            </w:pPr>
            <w:r w:rsidRPr="00F9134B">
              <w:rPr>
                <w:rFonts w:eastAsia="Calibri"/>
              </w:rPr>
              <w:t>Cannot be concluded</w:t>
            </w:r>
          </w:p>
        </w:tc>
      </w:tr>
    </w:tbl>
    <w:p w14:paraId="1AF09F13" w14:textId="77777777" w:rsidR="004A31CF" w:rsidRPr="00F9134B" w:rsidRDefault="004A31CF" w:rsidP="00F9134B">
      <w:pPr>
        <w:spacing w:before="0" w:beforeAutospacing="0" w:after="0" w:afterAutospacing="0"/>
      </w:pPr>
    </w:p>
    <w:p w14:paraId="2B94D5A0" w14:textId="671411C8" w:rsidR="007F4A2F" w:rsidRPr="00F9134B" w:rsidRDefault="00A05C6E" w:rsidP="00F9134B">
      <w:pPr>
        <w:spacing w:before="0" w:beforeAutospacing="0" w:after="0" w:afterAutospacing="0"/>
      </w:pPr>
      <w:r w:rsidRPr="00F9134B">
        <w:t xml:space="preserve">The Stabilisation and Association Agreement (SAA) between Albania and the EU came into force in April 2009. The transitional period of the SAA ended on 31 March 2019 and since 1 April 2019, Albania is thus fully associated with the EU. In the reporting period, Albania continued to implement its commitments under the SAA. </w:t>
      </w:r>
    </w:p>
    <w:p w14:paraId="1C136123" w14:textId="73C5BA52" w:rsidR="00115B40" w:rsidRPr="00F9134B" w:rsidRDefault="00A05C6E" w:rsidP="00F9134B">
      <w:pPr>
        <w:spacing w:before="0" w:beforeAutospacing="0" w:after="0" w:afterAutospacing="0"/>
      </w:pPr>
      <w:r w:rsidRPr="00F9134B">
        <w:t>Regular political and economic dialogue has continued through the relevant joint bodies under the SAA.  The Stabilization and Association Council met on 1 March 2021</w:t>
      </w:r>
      <w:r w:rsidR="00C24B43" w:rsidRPr="00F9134B">
        <w:t>, while there were no SAA Committee meetings in 2021.</w:t>
      </w:r>
    </w:p>
    <w:p w14:paraId="67842323" w14:textId="77777777" w:rsidR="001A710D" w:rsidRPr="00F9134B" w:rsidRDefault="001A710D" w:rsidP="00F9134B">
      <w:pPr>
        <w:spacing w:before="0" w:beforeAutospacing="0" w:after="0" w:afterAutospacing="0"/>
        <w:rPr>
          <w:i/>
          <w:iCs/>
        </w:rPr>
      </w:pPr>
    </w:p>
    <w:p w14:paraId="5344DB64" w14:textId="786BBEFE" w:rsidR="001A710D" w:rsidRPr="00F9134B" w:rsidRDefault="001A710D" w:rsidP="00F9134B">
      <w:pPr>
        <w:spacing w:before="0" w:beforeAutospacing="0" w:after="0" w:afterAutospacing="0"/>
      </w:pPr>
      <w:r w:rsidRPr="00F9134B">
        <w:t>In order to receive information on Criterion B, AWEN sent official letters to Parliament, the Ministry for Europe and Foreign Affairs</w:t>
      </w:r>
      <w:r w:rsidR="003C002E" w:rsidRPr="00F9134B">
        <w:t xml:space="preserve"> (MEFA)</w:t>
      </w:r>
      <w:r w:rsidRPr="00F9134B">
        <w:t xml:space="preserve"> and the National IPA Coordinator as well as browsed publicly available information on their respective websites. The section below analyses the four indicators under this criterion based on the information accessed online and the responses </w:t>
      </w:r>
      <w:r w:rsidR="003C002E" w:rsidRPr="00F9134B">
        <w:t xml:space="preserve">by email sent from the </w:t>
      </w:r>
      <w:r w:rsidRPr="00F9134B">
        <w:t xml:space="preserve">officials </w:t>
      </w:r>
      <w:r w:rsidR="003C002E" w:rsidRPr="00F9134B">
        <w:t xml:space="preserve">of the MEFA </w:t>
      </w:r>
      <w:r w:rsidRPr="00F9134B">
        <w:t xml:space="preserve">to determine whether SAA meetings include gender issues. </w:t>
      </w:r>
    </w:p>
    <w:p w14:paraId="560B819C" w14:textId="7664FC70" w:rsidR="001A710D" w:rsidRPr="00F9134B" w:rsidRDefault="001A710D" w:rsidP="00F9134B">
      <w:pPr>
        <w:spacing w:before="0" w:beforeAutospacing="0" w:after="0" w:afterAutospacing="0"/>
      </w:pPr>
    </w:p>
    <w:p w14:paraId="02E5CD40" w14:textId="76A1E210" w:rsidR="00771662" w:rsidRPr="00F9134B" w:rsidRDefault="00771662" w:rsidP="00F9134B">
      <w:pPr>
        <w:spacing w:before="0" w:beforeAutospacing="0" w:after="0" w:afterAutospacing="0"/>
      </w:pPr>
      <w:r w:rsidRPr="00F9134B">
        <w:t>Regarding the first indicator, since there were no SAA Committee meetings in 2021, it was not possible to make an assessment for this period.  As for the second indicator, there were four sub-committee meetings for Albania throughout 2021</w:t>
      </w:r>
      <w:r w:rsidRPr="00F9134B">
        <w:rPr>
          <w:i/>
          <w:iCs/>
        </w:rPr>
        <w:t xml:space="preserve">. </w:t>
      </w:r>
      <w:r w:rsidRPr="00F9134B">
        <w:t>The meeting note</w:t>
      </w:r>
      <w:r w:rsidR="00397F94" w:rsidRPr="00F9134B">
        <w:t>s</w:t>
      </w:r>
      <w:r w:rsidRPr="00F9134B">
        <w:t xml:space="preserve"> can be found on the website of the Ministry for Europe and Foreign Affairs, which has a dedicated section on Albania’s EU integration process.</w:t>
      </w:r>
      <w:r w:rsidRPr="00F9134B">
        <w:rPr>
          <w:rStyle w:val="FootnoteReference"/>
        </w:rPr>
        <w:footnoteReference w:id="14"/>
      </w:r>
      <w:r w:rsidRPr="00F9134B">
        <w:rPr>
          <w:i/>
          <w:iCs/>
        </w:rPr>
        <w:t xml:space="preserve"> </w:t>
      </w:r>
      <w:r w:rsidRPr="00F9134B">
        <w:t>Brie</w:t>
      </w:r>
      <w:r w:rsidR="00716E5C" w:rsidRPr="00F9134B">
        <w:t>f</w:t>
      </w:r>
      <w:r w:rsidRPr="00F9134B">
        <w:t xml:space="preserve"> meeting notes from the subcommittee on Innovation, Information Society and Social Policy and other subcommittees are posted in the website, however other information, such as agendas are not published, making it difficult to fully assess the content of the discussions. </w:t>
      </w:r>
    </w:p>
    <w:p w14:paraId="46E8C9CD" w14:textId="073ED024" w:rsidR="007F4A2F" w:rsidRPr="00F9134B" w:rsidRDefault="007F4A2F" w:rsidP="00F9134B">
      <w:pPr>
        <w:spacing w:before="0" w:beforeAutospacing="0" w:after="0" w:afterAutospacing="0"/>
      </w:pPr>
      <w:r w:rsidRPr="00F9134B">
        <w:lastRenderedPageBreak/>
        <w:t xml:space="preserve">Out of </w:t>
      </w:r>
      <w:r w:rsidR="00E06CD2" w:rsidRPr="00F9134B">
        <w:t>four</w:t>
      </w:r>
      <w:r w:rsidRPr="00F9134B">
        <w:t xml:space="preserve"> SAA Sub-Committee meetings held in 2021, three of them made no mention of gender as per the meeting notes available and two had some reference to groups in need and fundamental rights, however since agendas are not publicly available and it cannot be concluded </w:t>
      </w:r>
      <w:r w:rsidR="00397F94" w:rsidRPr="00F9134B">
        <w:t>whether</w:t>
      </w:r>
      <w:r w:rsidRPr="00F9134B">
        <w:t xml:space="preserve"> gender was </w:t>
      </w:r>
      <w:r w:rsidR="00397F94" w:rsidRPr="00F9134B">
        <w:t>among the points discussed</w:t>
      </w:r>
      <w:r w:rsidRPr="00F9134B">
        <w:t>. Of the two sub-committee meetings where gender could have been discussed, the one on Innovation, Information Society and Social Policy, held in January 2021, referred to the government’s efforts to combat the effects of the COVID-19 pandemic in the labour market with a special reference to groups most in need.</w:t>
      </w:r>
      <w:r w:rsidRPr="00F9134B">
        <w:rPr>
          <w:rStyle w:val="FootnoteReference"/>
        </w:rPr>
        <w:footnoteReference w:id="15"/>
      </w:r>
      <w:r w:rsidRPr="00F9134B">
        <w:t xml:space="preserve"> Second, the Subcommittee on Justice, Freedom and Security held December 2021 makes reference to fundamental rights but it is not clear that gender issues were discussed.</w:t>
      </w:r>
      <w:r w:rsidRPr="00F9134B">
        <w:rPr>
          <w:rStyle w:val="FootnoteReference"/>
        </w:rPr>
        <w:footnoteReference w:id="16"/>
      </w:r>
      <w:r w:rsidRPr="00F9134B">
        <w:t xml:space="preserve"> The meeting notes from the  SAA sub-committee meeting on Internal Market and Competition held in May 2021 and the sub-committee meeting  on Transport, Energy, Environment, Regional Development in September 2021 and the Sub-Committee on Agriculture and Fisheries held in December 2021 did not have any reference to gender. The Stabilization and Association Parliamentary Committee did not gather during the reporting period”</w:t>
      </w:r>
      <w:r w:rsidRPr="00F9134B">
        <w:rPr>
          <w:rStyle w:val="FootnoteReference"/>
          <w:rFonts w:eastAsia="Calibri"/>
        </w:rPr>
        <w:footnoteReference w:id="17"/>
      </w:r>
      <w:r w:rsidRPr="00F9134B">
        <w:t xml:space="preserve"> However, according</w:t>
      </w:r>
      <w:r w:rsidRPr="00F9134B">
        <w:rPr>
          <w:rFonts w:eastAsia="Calibri"/>
        </w:rPr>
        <w:t xml:space="preserve"> to the </w:t>
      </w:r>
      <w:r w:rsidR="00900C7D" w:rsidRPr="00F9134B">
        <w:rPr>
          <w:rFonts w:eastAsia="Calibri"/>
        </w:rPr>
        <w:t xml:space="preserve">email sent by the </w:t>
      </w:r>
      <w:r w:rsidRPr="00F9134B">
        <w:rPr>
          <w:rFonts w:eastAsia="Calibri"/>
        </w:rPr>
        <w:t xml:space="preserve">representative of the Ministry of Europe and Foreign Affairs gender equality issues are discussed in all meetings of the respective SAA. </w:t>
      </w:r>
      <w:r w:rsidRPr="00F9134B">
        <w:t xml:space="preserve"> </w:t>
      </w:r>
    </w:p>
    <w:p w14:paraId="7219E5DA" w14:textId="77777777" w:rsidR="007F4A2F" w:rsidRPr="00F9134B" w:rsidRDefault="007F4A2F" w:rsidP="00F9134B">
      <w:pPr>
        <w:spacing w:before="0" w:beforeAutospacing="0" w:after="0" w:afterAutospacing="0"/>
        <w:rPr>
          <w:rFonts w:eastAsia="Calibri"/>
        </w:rPr>
      </w:pPr>
      <w:r w:rsidRPr="00F9134B">
        <w:rPr>
          <w:rFonts w:eastAsia="Calibri"/>
        </w:rPr>
        <w:t xml:space="preserve">Regarding the third indicator, WCSOs have not been invited or consulted prior, during or after SAA Committee or Sub-Committee meetings.  Lastly, for the fourth indicator, </w:t>
      </w:r>
      <w:r w:rsidRPr="00F9134B">
        <w:t xml:space="preserve">on the extent to which SAA committee and sub-committee meetings conclusions attend to gender equality issues, it can be concluded from meeting notes that there are no conclusions or action points on gender equality. </w:t>
      </w:r>
    </w:p>
    <w:p w14:paraId="25219EA2" w14:textId="743DC23F" w:rsidR="00A05C6E" w:rsidRPr="00F9134B" w:rsidRDefault="00A05C6E" w:rsidP="00F9134B">
      <w:pPr>
        <w:spacing w:before="0" w:beforeAutospacing="0" w:after="0" w:afterAutospacing="0"/>
        <w:rPr>
          <w:i/>
          <w:iCs/>
        </w:rPr>
      </w:pPr>
      <w:r w:rsidRPr="00F9134B">
        <w:rPr>
          <w:rFonts w:eastAsia="Calibri"/>
        </w:rPr>
        <w:t xml:space="preserve"> </w:t>
      </w:r>
    </w:p>
    <w:p w14:paraId="15CF7D54"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jc w:val="left"/>
        <w:outlineLvl w:val="1"/>
        <w:rPr>
          <w:rFonts w:cs="Arial"/>
          <w:b/>
          <w:caps/>
          <w:spacing w:val="15"/>
        </w:rPr>
      </w:pPr>
      <w:bookmarkStart w:id="1" w:name="_Hlk79050905"/>
      <w:r w:rsidRPr="00F9134B">
        <w:rPr>
          <w:rFonts w:cs="Arial"/>
          <w:b/>
          <w:caps/>
          <w:spacing w:val="15"/>
        </w:rPr>
        <w:t xml:space="preserve">Criterion C. EU strategic engagement at country-level on gender equality is in 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7"/>
        <w:gridCol w:w="1569"/>
      </w:tblGrid>
      <w:tr w:rsidR="007F6A74" w:rsidRPr="00F9134B" w14:paraId="1814FBB7" w14:textId="77777777" w:rsidTr="1FF48150">
        <w:tc>
          <w:tcPr>
            <w:tcW w:w="8007" w:type="dxa"/>
            <w:tcBorders>
              <w:top w:val="single" w:sz="4" w:space="0" w:color="auto"/>
              <w:left w:val="single" w:sz="4" w:space="0" w:color="auto"/>
              <w:bottom w:val="single" w:sz="4" w:space="0" w:color="auto"/>
              <w:right w:val="single" w:sz="4" w:space="0" w:color="auto"/>
            </w:tcBorders>
            <w:shd w:val="clear" w:color="auto" w:fill="auto"/>
            <w:hideMark/>
          </w:tcPr>
          <w:p w14:paraId="5407B623" w14:textId="524F6FD8" w:rsidR="0011558A" w:rsidRPr="00F9134B" w:rsidRDefault="0011558A" w:rsidP="00F9134B">
            <w:pPr>
              <w:pStyle w:val="ListParagraph"/>
              <w:numPr>
                <w:ilvl w:val="0"/>
                <w:numId w:val="3"/>
              </w:numPr>
              <w:spacing w:before="0" w:beforeAutospacing="0" w:afterAutospacing="0"/>
              <w:jc w:val="left"/>
              <w:rPr>
                <w:rFonts w:ascii="Cambria" w:hAnsi="Cambria"/>
              </w:rPr>
            </w:pPr>
            <w:r w:rsidRPr="00F9134B">
              <w:rPr>
                <w:rFonts w:ascii="Cambria" w:hAnsi="Cambria"/>
              </w:rPr>
              <w:t>Country-level Implementation Plan for GAP III agreed and transmitted to HQ (Brussels) (indicator 5.1 GAP III)</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46E34683" w14:textId="76076230" w:rsidR="0011558A" w:rsidRPr="00F9134B" w:rsidRDefault="5EC2F290" w:rsidP="00F9134B">
            <w:pPr>
              <w:spacing w:before="0" w:beforeAutospacing="0" w:after="0" w:afterAutospacing="0"/>
              <w:jc w:val="left"/>
              <w:rPr>
                <w:rFonts w:eastAsia="Calibri"/>
              </w:rPr>
            </w:pPr>
            <w:r w:rsidRPr="00F9134B">
              <w:rPr>
                <w:rFonts w:eastAsia="Calibri"/>
              </w:rPr>
              <w:t xml:space="preserve">Yes </w:t>
            </w:r>
          </w:p>
        </w:tc>
      </w:tr>
      <w:tr w:rsidR="007F6A74" w:rsidRPr="00F9134B" w14:paraId="575A2C4C" w14:textId="77777777" w:rsidTr="1FF48150">
        <w:tc>
          <w:tcPr>
            <w:tcW w:w="8007" w:type="dxa"/>
            <w:tcBorders>
              <w:top w:val="single" w:sz="4" w:space="0" w:color="auto"/>
              <w:left w:val="single" w:sz="4" w:space="0" w:color="auto"/>
              <w:bottom w:val="single" w:sz="4" w:space="0" w:color="auto"/>
              <w:right w:val="single" w:sz="4" w:space="0" w:color="auto"/>
            </w:tcBorders>
            <w:shd w:val="clear" w:color="auto" w:fill="auto"/>
            <w:hideMark/>
          </w:tcPr>
          <w:p w14:paraId="78095313"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Gender Country Profile conducted / updated</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18C4F791" w14:textId="5D7FBFC7" w:rsidR="0011558A" w:rsidRPr="00F9134B" w:rsidRDefault="004942B6" w:rsidP="00F9134B">
            <w:pPr>
              <w:spacing w:before="0" w:beforeAutospacing="0" w:after="0" w:afterAutospacing="0"/>
              <w:jc w:val="left"/>
              <w:rPr>
                <w:rFonts w:eastAsia="Calibri"/>
              </w:rPr>
            </w:pPr>
            <w:r w:rsidRPr="00F9134B">
              <w:rPr>
                <w:rFonts w:eastAsia="Calibri"/>
              </w:rPr>
              <w:t>Yes</w:t>
            </w:r>
          </w:p>
        </w:tc>
      </w:tr>
      <w:tr w:rsidR="007F6A74" w:rsidRPr="00F9134B" w14:paraId="44C0A9E1" w14:textId="77777777" w:rsidTr="1FF48150">
        <w:tc>
          <w:tcPr>
            <w:tcW w:w="8007" w:type="dxa"/>
            <w:tcBorders>
              <w:top w:val="single" w:sz="4" w:space="0" w:color="auto"/>
              <w:left w:val="single" w:sz="4" w:space="0" w:color="auto"/>
              <w:bottom w:val="single" w:sz="4" w:space="0" w:color="auto"/>
              <w:right w:val="single" w:sz="4" w:space="0" w:color="auto"/>
            </w:tcBorders>
            <w:shd w:val="clear" w:color="auto" w:fill="auto"/>
            <w:hideMark/>
          </w:tcPr>
          <w:p w14:paraId="39624969"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Fully-fledged gender analysis conducted / updated</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0AA706E8" w14:textId="08ED1C2C" w:rsidR="0011558A" w:rsidRPr="00F9134B" w:rsidRDefault="00FF0413" w:rsidP="00F9134B">
            <w:pPr>
              <w:spacing w:before="0" w:beforeAutospacing="0" w:after="0" w:afterAutospacing="0"/>
              <w:jc w:val="left"/>
              <w:rPr>
                <w:rFonts w:eastAsia="Calibri"/>
              </w:rPr>
            </w:pPr>
            <w:r w:rsidRPr="00F9134B">
              <w:rPr>
                <w:rFonts w:eastAsia="Calibri"/>
              </w:rPr>
              <w:t>Cannot be concluded</w:t>
            </w:r>
          </w:p>
        </w:tc>
      </w:tr>
      <w:tr w:rsidR="007F6A74" w:rsidRPr="00F9134B" w14:paraId="1BBB438B" w14:textId="77777777" w:rsidTr="1FF48150">
        <w:tc>
          <w:tcPr>
            <w:tcW w:w="8007" w:type="dxa"/>
            <w:tcBorders>
              <w:top w:val="single" w:sz="4" w:space="0" w:color="auto"/>
              <w:left w:val="single" w:sz="4" w:space="0" w:color="auto"/>
              <w:bottom w:val="single" w:sz="4" w:space="0" w:color="auto"/>
              <w:right w:val="single" w:sz="4" w:space="0" w:color="auto"/>
            </w:tcBorders>
            <w:shd w:val="clear" w:color="auto" w:fill="auto"/>
            <w:hideMark/>
          </w:tcPr>
          <w:p w14:paraId="2E41EE09"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Number of sector-specific gender analyses for the priority areas under the programming cycle 2021-2027 developed and transmitted to HQ (Brussels) (indicator 5.2)</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3255AC2F" w14:textId="77777777" w:rsidR="0011558A" w:rsidRPr="00F9134B" w:rsidRDefault="001F30CA" w:rsidP="00F9134B">
            <w:pPr>
              <w:spacing w:before="0" w:beforeAutospacing="0" w:after="0" w:afterAutospacing="0"/>
              <w:jc w:val="left"/>
              <w:rPr>
                <w:rFonts w:eastAsia="Calibri"/>
                <w:highlight w:val="yellow"/>
              </w:rPr>
            </w:pPr>
            <w:r w:rsidRPr="00F9134B">
              <w:rPr>
                <w:rFonts w:eastAsia="Calibri"/>
              </w:rPr>
              <w:t>Not at all</w:t>
            </w:r>
          </w:p>
        </w:tc>
      </w:tr>
      <w:tr w:rsidR="007F6A74" w:rsidRPr="00F9134B" w14:paraId="109020C4" w14:textId="77777777" w:rsidTr="1FF48150">
        <w:tc>
          <w:tcPr>
            <w:tcW w:w="8007" w:type="dxa"/>
            <w:tcBorders>
              <w:top w:val="single" w:sz="4" w:space="0" w:color="auto"/>
              <w:left w:val="single" w:sz="4" w:space="0" w:color="auto"/>
              <w:bottom w:val="single" w:sz="4" w:space="0" w:color="auto"/>
              <w:right w:val="single" w:sz="4" w:space="0" w:color="auto"/>
            </w:tcBorders>
            <w:shd w:val="clear" w:color="auto" w:fill="auto"/>
            <w:hideMark/>
          </w:tcPr>
          <w:p w14:paraId="7A1AF55F" w14:textId="77777777" w:rsidR="0011558A" w:rsidRPr="00F9134B" w:rsidRDefault="0011558A"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Extent to which EU Delegation engages in dialogue on gender equality with governments, national gender equality mechanisms, parliaments and other institutional actors (indicator 7.1)</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77444175" w14:textId="77777777" w:rsidR="0011558A" w:rsidRPr="00F9134B" w:rsidRDefault="003833B7" w:rsidP="00F9134B">
            <w:pPr>
              <w:spacing w:before="0" w:beforeAutospacing="0" w:after="0" w:afterAutospacing="0"/>
              <w:jc w:val="left"/>
              <w:rPr>
                <w:rFonts w:eastAsia="Calibri"/>
              </w:rPr>
            </w:pPr>
            <w:r w:rsidRPr="00F9134B">
              <w:rPr>
                <w:rFonts w:eastAsia="Calibri"/>
              </w:rPr>
              <w:t>Extensively</w:t>
            </w:r>
          </w:p>
        </w:tc>
      </w:tr>
      <w:tr w:rsidR="00754B2B" w:rsidRPr="00F9134B" w14:paraId="6B3C1CA4" w14:textId="77777777" w:rsidTr="1FF48150">
        <w:tc>
          <w:tcPr>
            <w:tcW w:w="8007" w:type="dxa"/>
            <w:tcBorders>
              <w:top w:val="single" w:sz="4" w:space="0" w:color="auto"/>
              <w:left w:val="single" w:sz="4" w:space="0" w:color="auto"/>
              <w:bottom w:val="single" w:sz="4" w:space="0" w:color="auto"/>
              <w:right w:val="single" w:sz="4" w:space="0" w:color="auto"/>
            </w:tcBorders>
            <w:shd w:val="clear" w:color="auto" w:fill="auto"/>
            <w:hideMark/>
          </w:tcPr>
          <w:p w14:paraId="0445AB0A" w14:textId="77777777" w:rsidR="00754B2B" w:rsidRPr="00F9134B" w:rsidRDefault="00754B2B"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Extent to which EU Delegation consulted civil society including women’s organisations for the development of the Country-level Implementation Plan</w:t>
            </w:r>
          </w:p>
        </w:tc>
        <w:tc>
          <w:tcPr>
            <w:tcW w:w="1569" w:type="dxa"/>
            <w:tcBorders>
              <w:top w:val="single" w:sz="4" w:space="0" w:color="auto"/>
              <w:left w:val="single" w:sz="4" w:space="0" w:color="auto"/>
              <w:bottom w:val="single" w:sz="4" w:space="0" w:color="auto"/>
              <w:right w:val="single" w:sz="4" w:space="0" w:color="auto"/>
            </w:tcBorders>
            <w:shd w:val="clear" w:color="auto" w:fill="auto"/>
          </w:tcPr>
          <w:p w14:paraId="7FBF5C12" w14:textId="77777777" w:rsidR="00754B2B" w:rsidRPr="00F9134B" w:rsidRDefault="004A482C" w:rsidP="00F9134B">
            <w:pPr>
              <w:spacing w:before="0" w:beforeAutospacing="0" w:after="0" w:afterAutospacing="0"/>
              <w:jc w:val="left"/>
              <w:rPr>
                <w:rFonts w:eastAsia="Calibri"/>
              </w:rPr>
            </w:pPr>
            <w:r w:rsidRPr="00F9134B">
              <w:rPr>
                <w:rFonts w:eastAsia="Calibri"/>
              </w:rPr>
              <w:t>Fully</w:t>
            </w:r>
          </w:p>
        </w:tc>
      </w:tr>
      <w:tr w:rsidR="00754B2B" w:rsidRPr="00F9134B" w14:paraId="36E8C979" w14:textId="77777777" w:rsidTr="1FF48150">
        <w:tc>
          <w:tcPr>
            <w:tcW w:w="8007" w:type="dxa"/>
            <w:tcBorders>
              <w:top w:val="single" w:sz="4" w:space="0" w:color="auto"/>
              <w:left w:val="single" w:sz="4" w:space="0" w:color="auto"/>
              <w:bottom w:val="single" w:sz="4" w:space="0" w:color="auto"/>
              <w:right w:val="single" w:sz="4" w:space="0" w:color="auto"/>
            </w:tcBorders>
            <w:shd w:val="clear" w:color="auto" w:fill="auto"/>
            <w:hideMark/>
          </w:tcPr>
          <w:p w14:paraId="7C23B463" w14:textId="77777777" w:rsidR="00754B2B" w:rsidRPr="00F9134B" w:rsidRDefault="00754B2B"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Extent to which EU Delegation engages in dialogue on gender equality with civil society including women’s organisations (indicator 7.2)</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00CC4111" w14:textId="445B818B" w:rsidR="00754B2B" w:rsidRPr="00F9134B" w:rsidRDefault="004942B6" w:rsidP="00F9134B">
            <w:pPr>
              <w:spacing w:before="0" w:beforeAutospacing="0" w:after="0" w:afterAutospacing="0"/>
              <w:jc w:val="left"/>
              <w:rPr>
                <w:rFonts w:eastAsia="Calibri"/>
              </w:rPr>
            </w:pPr>
            <w:r w:rsidRPr="00F9134B">
              <w:rPr>
                <w:rFonts w:eastAsia="Calibri"/>
              </w:rPr>
              <w:t>Minimally</w:t>
            </w:r>
          </w:p>
        </w:tc>
      </w:tr>
      <w:tr w:rsidR="00754B2B" w:rsidRPr="00F9134B" w14:paraId="3C289B2B" w14:textId="77777777" w:rsidTr="1FF48150">
        <w:tc>
          <w:tcPr>
            <w:tcW w:w="8007" w:type="dxa"/>
            <w:tcBorders>
              <w:top w:val="single" w:sz="4" w:space="0" w:color="auto"/>
              <w:left w:val="single" w:sz="4" w:space="0" w:color="auto"/>
              <w:bottom w:val="single" w:sz="4" w:space="0" w:color="auto"/>
              <w:right w:val="single" w:sz="4" w:space="0" w:color="auto"/>
            </w:tcBorders>
            <w:shd w:val="clear" w:color="auto" w:fill="auto"/>
            <w:hideMark/>
          </w:tcPr>
          <w:p w14:paraId="1B85E573" w14:textId="77777777" w:rsidR="00754B2B" w:rsidRPr="00F9134B" w:rsidRDefault="00754B2B" w:rsidP="00F9134B">
            <w:pPr>
              <w:pStyle w:val="ListParagraph"/>
              <w:numPr>
                <w:ilvl w:val="0"/>
                <w:numId w:val="3"/>
              </w:numPr>
              <w:spacing w:before="0" w:beforeAutospacing="0" w:afterAutospacing="0"/>
              <w:ind w:left="360" w:firstLine="0"/>
              <w:jc w:val="left"/>
              <w:rPr>
                <w:rFonts w:ascii="Cambria" w:hAnsi="Cambria"/>
              </w:rPr>
            </w:pPr>
            <w:r w:rsidRPr="00F9134B">
              <w:rPr>
                <w:rFonts w:ascii="Cambria" w:hAnsi="Cambria"/>
              </w:rPr>
              <w:t>Extent to which EU Delegation engages in dialogue with civil society on women, peace and security issues in partner countries (indicator 7.2)</w:t>
            </w:r>
          </w:p>
        </w:tc>
        <w:tc>
          <w:tcPr>
            <w:tcW w:w="1569" w:type="dxa"/>
            <w:tcBorders>
              <w:top w:val="single" w:sz="4" w:space="0" w:color="auto"/>
              <w:left w:val="single" w:sz="4" w:space="0" w:color="auto"/>
              <w:bottom w:val="single" w:sz="4" w:space="0" w:color="auto"/>
              <w:right w:val="single" w:sz="4" w:space="0" w:color="auto"/>
            </w:tcBorders>
            <w:shd w:val="clear" w:color="auto" w:fill="auto"/>
            <w:hideMark/>
          </w:tcPr>
          <w:p w14:paraId="7AC03E72" w14:textId="77777777" w:rsidR="00754B2B" w:rsidRPr="00F9134B" w:rsidRDefault="00A02091" w:rsidP="00F9134B">
            <w:pPr>
              <w:spacing w:before="0" w:beforeAutospacing="0" w:after="0" w:afterAutospacing="0"/>
              <w:jc w:val="left"/>
              <w:rPr>
                <w:rFonts w:eastAsia="Calibri"/>
              </w:rPr>
            </w:pPr>
            <w:r w:rsidRPr="00F9134B">
              <w:rPr>
                <w:rFonts w:eastAsia="Calibri"/>
              </w:rPr>
              <w:t>Moderately</w:t>
            </w:r>
            <w:r w:rsidR="00754B2B" w:rsidRPr="00F9134B">
              <w:rPr>
                <w:rFonts w:eastAsia="Calibri"/>
              </w:rPr>
              <w:t xml:space="preserve"> </w:t>
            </w:r>
          </w:p>
        </w:tc>
      </w:tr>
    </w:tbl>
    <w:p w14:paraId="31B87DE7" w14:textId="4177D3D8" w:rsidR="1FF48150" w:rsidRPr="00F9134B" w:rsidRDefault="1FF48150" w:rsidP="00F9134B">
      <w:pPr>
        <w:spacing w:before="0" w:beforeAutospacing="0" w:after="0" w:afterAutospacing="0"/>
      </w:pPr>
    </w:p>
    <w:p w14:paraId="7CD58EEB" w14:textId="1CE6AB01" w:rsidR="0011558A" w:rsidRPr="00F9134B" w:rsidRDefault="00FF0413" w:rsidP="00F9134B">
      <w:pPr>
        <w:spacing w:before="0" w:beforeAutospacing="0" w:after="0" w:afterAutospacing="0"/>
      </w:pPr>
      <w:r w:rsidRPr="00F9134B">
        <w:t>According to the interview with the gender equality focal point of the EUD, t</w:t>
      </w:r>
      <w:r w:rsidR="00754B2B" w:rsidRPr="00F9134B">
        <w:t>he EU</w:t>
      </w:r>
      <w:r w:rsidR="0011558A" w:rsidRPr="00F9134B">
        <w:t xml:space="preserve"> Delegation to Albania (EUD) </w:t>
      </w:r>
      <w:r w:rsidR="00397F94" w:rsidRPr="00F9134B">
        <w:t xml:space="preserve">commissioned an external </w:t>
      </w:r>
      <w:r w:rsidR="000076BA" w:rsidRPr="00F9134B">
        <w:t>company in</w:t>
      </w:r>
      <w:r w:rsidR="0011558A" w:rsidRPr="00F9134B">
        <w:t xml:space="preserve"> April 2021 </w:t>
      </w:r>
      <w:r w:rsidR="00397F94" w:rsidRPr="00F9134B">
        <w:t xml:space="preserve">to produce </w:t>
      </w:r>
      <w:r w:rsidR="0011558A" w:rsidRPr="00F9134B">
        <w:t xml:space="preserve">a Gender Country profile that includes different </w:t>
      </w:r>
      <w:r w:rsidR="00754B2B" w:rsidRPr="00F9134B">
        <w:t xml:space="preserve">sectors. </w:t>
      </w:r>
      <w:r w:rsidR="00397F94" w:rsidRPr="00F9134B">
        <w:t xml:space="preserve">From the information acquired, the document appears to be not for </w:t>
      </w:r>
      <w:r w:rsidR="00397F94" w:rsidRPr="00F9134B">
        <w:lastRenderedPageBreak/>
        <w:t xml:space="preserve">external use but national ministries can request it. </w:t>
      </w:r>
      <w:r w:rsidR="00DA4E8A" w:rsidRPr="00F9134B">
        <w:t xml:space="preserve"> </w:t>
      </w:r>
      <w:r w:rsidR="008F0572" w:rsidRPr="00F9134B">
        <w:rPr>
          <w:rStyle w:val="FootnoteReference"/>
        </w:rPr>
        <w:footnoteReference w:id="18"/>
      </w:r>
      <w:r w:rsidR="0011558A" w:rsidRPr="00F9134B">
        <w:t xml:space="preserve">Findings </w:t>
      </w:r>
      <w:r w:rsidRPr="00F9134B">
        <w:t xml:space="preserve">from the Country Gender </w:t>
      </w:r>
      <w:r w:rsidR="00397F94" w:rsidRPr="00F9134B">
        <w:t>Profile</w:t>
      </w:r>
      <w:r w:rsidRPr="00F9134B">
        <w:t xml:space="preserve"> </w:t>
      </w:r>
      <w:r w:rsidR="0011558A" w:rsidRPr="00F9134B">
        <w:t>are been used for IPA III</w:t>
      </w:r>
      <w:r w:rsidR="000A2DA5" w:rsidRPr="00F9134B">
        <w:t xml:space="preserve"> preparation</w:t>
      </w:r>
      <w:r w:rsidR="0011558A" w:rsidRPr="00F9134B">
        <w:t xml:space="preserve">. </w:t>
      </w:r>
      <w:r w:rsidR="00754B2B" w:rsidRPr="00F9134B">
        <w:t>The EUD</w:t>
      </w:r>
      <w:r w:rsidR="0011558A" w:rsidRPr="00F9134B">
        <w:t xml:space="preserve"> to Albania also uses the reports produce</w:t>
      </w:r>
      <w:r w:rsidR="006B31DB" w:rsidRPr="00F9134B">
        <w:t>d</w:t>
      </w:r>
      <w:r w:rsidR="0011558A" w:rsidRPr="00F9134B">
        <w:t xml:space="preserve"> by the international partners such UN Women, Country Gender Brief Analysis.</w:t>
      </w:r>
      <w:r w:rsidRPr="00F9134B">
        <w:rPr>
          <w:rStyle w:val="FootnoteReference"/>
        </w:rPr>
        <w:footnoteReference w:id="19"/>
      </w:r>
      <w:r w:rsidR="0011558A" w:rsidRPr="00F9134B">
        <w:t xml:space="preserve"> This document is used for example for the drafting of the </w:t>
      </w:r>
      <w:r w:rsidR="00DA4E8A" w:rsidRPr="00F9134B">
        <w:t>Country-level Implementation Plan (</w:t>
      </w:r>
      <w:r w:rsidR="0011558A" w:rsidRPr="00F9134B">
        <w:t>CLIP</w:t>
      </w:r>
      <w:r w:rsidR="00DA4E8A" w:rsidRPr="00F9134B">
        <w:t>)</w:t>
      </w:r>
      <w:r w:rsidR="0011558A" w:rsidRPr="00F9134B">
        <w:t xml:space="preserve"> plan.</w:t>
      </w:r>
    </w:p>
    <w:p w14:paraId="1801CF01" w14:textId="23FE9B4F" w:rsidR="1FF48150" w:rsidRPr="00F9134B" w:rsidRDefault="1FF48150" w:rsidP="00F9134B">
      <w:pPr>
        <w:spacing w:before="0" w:beforeAutospacing="0" w:after="0" w:afterAutospacing="0"/>
      </w:pPr>
    </w:p>
    <w:p w14:paraId="27D8C675" w14:textId="6DF82D45" w:rsidR="00754B2B" w:rsidRPr="00F9134B" w:rsidRDefault="00754B2B" w:rsidP="00F9134B">
      <w:pPr>
        <w:spacing w:before="0" w:beforeAutospacing="0" w:after="0" w:afterAutospacing="0"/>
        <w:rPr>
          <w:rFonts w:eastAsia="Calibri" w:cs="Tahoma"/>
        </w:rPr>
      </w:pPr>
      <w:r w:rsidRPr="00F9134B">
        <w:t>While the EUD does not have a gender analysis submitted to Brussels, it has undertaken sectoral gender analysis</w:t>
      </w:r>
      <w:r w:rsidRPr="00F9134B">
        <w:rPr>
          <w:rFonts w:eastAsia="Calibri"/>
        </w:rPr>
        <w:t xml:space="preserve">. In collaboration with </w:t>
      </w:r>
      <w:r w:rsidR="00FF0413" w:rsidRPr="00F9134B">
        <w:rPr>
          <w:rFonts w:eastAsia="Calibri"/>
        </w:rPr>
        <w:t>European Bank for Reconstruction and Development (</w:t>
      </w:r>
      <w:r w:rsidRPr="00F9134B">
        <w:rPr>
          <w:rFonts w:eastAsia="Calibri"/>
        </w:rPr>
        <w:t>EBRD</w:t>
      </w:r>
      <w:r w:rsidR="00FF0413" w:rsidRPr="00F9134B">
        <w:rPr>
          <w:rFonts w:eastAsia="Calibri"/>
        </w:rPr>
        <w:t>)</w:t>
      </w:r>
      <w:r w:rsidRPr="00F9134B">
        <w:rPr>
          <w:rFonts w:eastAsia="Calibri"/>
        </w:rPr>
        <w:t xml:space="preserve"> it has planned to design a gender analysis in the field of tourism. Another one is planned in environment and the circular economy.  In 2021 when EUD prepared the CLIP plan it conducted a mapping of gender sector analyses</w:t>
      </w:r>
      <w:r w:rsidR="00397F94" w:rsidRPr="00F9134B">
        <w:rPr>
          <w:rStyle w:val="FootnoteReference"/>
          <w:rFonts w:eastAsia="Calibri"/>
        </w:rPr>
        <w:footnoteReference w:id="20"/>
      </w:r>
      <w:r w:rsidRPr="00F9134B">
        <w:rPr>
          <w:rFonts w:eastAsia="Calibri"/>
        </w:rPr>
        <w:t xml:space="preserve">. Another gender analysis is planned as part of the IPA 2022 project in the field of youth </w:t>
      </w:r>
      <w:r w:rsidRPr="00F9134B">
        <w:rPr>
          <w:rFonts w:eastAsia="Calibri" w:cs="Tahoma"/>
        </w:rPr>
        <w:t>employment vocational training.</w:t>
      </w:r>
    </w:p>
    <w:p w14:paraId="64F94F04" w14:textId="77777777" w:rsidR="00DA4E8A" w:rsidRPr="00F9134B" w:rsidRDefault="00DA4E8A" w:rsidP="00F9134B">
      <w:pPr>
        <w:spacing w:before="0" w:beforeAutospacing="0" w:after="0" w:afterAutospacing="0"/>
        <w:rPr>
          <w:rFonts w:eastAsia="Calibri" w:cs="Tahoma"/>
        </w:rPr>
      </w:pPr>
    </w:p>
    <w:p w14:paraId="025F30AF" w14:textId="09F84233" w:rsidR="00176A03" w:rsidRPr="00F9134B" w:rsidRDefault="0011558A" w:rsidP="00F9134B">
      <w:pPr>
        <w:spacing w:before="0" w:beforeAutospacing="0" w:after="0" w:afterAutospacing="0"/>
        <w:rPr>
          <w:rFonts w:eastAsia="Calibri"/>
        </w:rPr>
      </w:pPr>
      <w:r w:rsidRPr="00F9134B">
        <w:rPr>
          <w:rFonts w:cs="Tahoma"/>
        </w:rPr>
        <w:t>For the preparation of the Albanian C</w:t>
      </w:r>
      <w:r w:rsidR="00DA4E8A" w:rsidRPr="00F9134B">
        <w:rPr>
          <w:rFonts w:cs="Tahoma"/>
        </w:rPr>
        <w:t>LIP</w:t>
      </w:r>
      <w:r w:rsidRPr="00F9134B">
        <w:rPr>
          <w:rFonts w:cs="Tahoma"/>
        </w:rPr>
        <w:t>, in June 2021, AWEN launched a consultation process and event</w:t>
      </w:r>
      <w:r w:rsidR="000A2DA5" w:rsidRPr="00F9134B">
        <w:rPr>
          <w:rFonts w:cs="Tahoma"/>
        </w:rPr>
        <w:t>s</w:t>
      </w:r>
      <w:r w:rsidRPr="00F9134B">
        <w:rPr>
          <w:rFonts w:cs="Tahoma"/>
        </w:rPr>
        <w:t xml:space="preserve"> with civil society organizations </w:t>
      </w:r>
      <w:r w:rsidR="00A02091" w:rsidRPr="00F9134B">
        <w:rPr>
          <w:rFonts w:cs="Tahoma"/>
        </w:rPr>
        <w:t>upon request from</w:t>
      </w:r>
      <w:r w:rsidRPr="00F9134B">
        <w:rPr>
          <w:rFonts w:cs="Tahoma"/>
        </w:rPr>
        <w:t xml:space="preserve"> EU Delegation office in Albania and Embassy of Sweden in Albania. In relation to this, AWEN drafted an </w:t>
      </w:r>
      <w:r w:rsidR="006B31DB" w:rsidRPr="00F9134B">
        <w:rPr>
          <w:rFonts w:cs="Tahoma"/>
        </w:rPr>
        <w:t>online</w:t>
      </w:r>
      <w:r w:rsidRPr="00F9134B">
        <w:rPr>
          <w:rFonts w:cs="Tahoma"/>
        </w:rPr>
        <w:t xml:space="preserve"> questionnaire in cooperation with the EU Delegation office, with the aim of collecting information and priorities from CSOs in the country, especially those working towards gender equality. </w:t>
      </w:r>
      <w:r w:rsidR="00215C2B" w:rsidRPr="00F9134B">
        <w:rPr>
          <w:rFonts w:cs="Tahoma"/>
        </w:rPr>
        <w:t xml:space="preserve"> </w:t>
      </w:r>
      <w:r w:rsidRPr="00F9134B">
        <w:rPr>
          <w:rFonts w:cs="Tahoma"/>
        </w:rPr>
        <w:t>37</w:t>
      </w:r>
      <w:r w:rsidR="00215C2B" w:rsidRPr="00F9134B">
        <w:rPr>
          <w:rFonts w:cs="Tahoma"/>
        </w:rPr>
        <w:t xml:space="preserve"> (</w:t>
      </w:r>
      <w:r w:rsidR="00D23F86" w:rsidRPr="00F9134B">
        <w:rPr>
          <w:rFonts w:cs="Tahoma"/>
        </w:rPr>
        <w:t>thirty-seven</w:t>
      </w:r>
      <w:r w:rsidR="00215C2B" w:rsidRPr="00F9134B">
        <w:rPr>
          <w:rFonts w:cs="Tahoma"/>
        </w:rPr>
        <w:t>)</w:t>
      </w:r>
      <w:r w:rsidRPr="00F9134B">
        <w:rPr>
          <w:rFonts w:cs="Tahoma"/>
        </w:rPr>
        <w:t xml:space="preserve"> </w:t>
      </w:r>
      <w:r w:rsidR="00754B2B" w:rsidRPr="00F9134B">
        <w:rPr>
          <w:rFonts w:cs="Tahoma"/>
        </w:rPr>
        <w:t xml:space="preserve">WCSOs </w:t>
      </w:r>
      <w:r w:rsidRPr="00F9134B">
        <w:rPr>
          <w:rFonts w:cs="Tahoma"/>
        </w:rPr>
        <w:t>working all over the country have responded to this questionnaire. A consultative meeting with representatives of the European Delegation to Albania</w:t>
      </w:r>
      <w:r w:rsidR="006B31DB" w:rsidRPr="00F9134B">
        <w:rPr>
          <w:rFonts w:cs="Tahoma"/>
        </w:rPr>
        <w:t xml:space="preserve"> was</w:t>
      </w:r>
      <w:r w:rsidRPr="00F9134B">
        <w:rPr>
          <w:rFonts w:cs="Tahoma"/>
        </w:rPr>
        <w:t xml:space="preserve"> organized to share the information collected through the online questionnaire.  This meeting consisted in sharing the findings of the questionnaire and holding discussions on</w:t>
      </w:r>
      <w:r w:rsidRPr="00F9134B">
        <w:t xml:space="preserve"> the relevant priorities for Albania, the dialogue with the civil society, areas of support and cooperation between the EU and the civil society for the implementation of the </w:t>
      </w:r>
      <w:r w:rsidR="00D43F4A" w:rsidRPr="00F9134B">
        <w:t>CLIP.</w:t>
      </w:r>
      <w:r w:rsidR="00D43F4A" w:rsidRPr="00F9134B">
        <w:rPr>
          <w:rFonts w:eastAsia="Calibri"/>
        </w:rPr>
        <w:t xml:space="preserve"> </w:t>
      </w:r>
      <w:r w:rsidR="00DA4E8A" w:rsidRPr="00F9134B">
        <w:rPr>
          <w:rFonts w:eastAsia="Calibri"/>
        </w:rPr>
        <w:t xml:space="preserve">The </w:t>
      </w:r>
      <w:r w:rsidR="00097316" w:rsidRPr="00F9134B">
        <w:rPr>
          <w:rFonts w:eastAsia="Calibri"/>
        </w:rPr>
        <w:t xml:space="preserve">CLIP Albania included fully all the CSOs recommendations </w:t>
      </w:r>
      <w:r w:rsidR="00DA4E8A" w:rsidRPr="00F9134B">
        <w:rPr>
          <w:rFonts w:eastAsia="Calibri"/>
        </w:rPr>
        <w:t xml:space="preserve">shared </w:t>
      </w:r>
      <w:r w:rsidR="00097316" w:rsidRPr="00F9134B">
        <w:rPr>
          <w:rFonts w:eastAsia="Calibri"/>
        </w:rPr>
        <w:t xml:space="preserve">during the dialogue process. </w:t>
      </w:r>
    </w:p>
    <w:p w14:paraId="2306BD79" w14:textId="77777777" w:rsidR="00DA4E8A" w:rsidRPr="00F9134B" w:rsidRDefault="00DA4E8A" w:rsidP="00F9134B">
      <w:pPr>
        <w:spacing w:before="0" w:beforeAutospacing="0" w:after="0" w:afterAutospacing="0"/>
        <w:rPr>
          <w:rFonts w:eastAsia="Calibri"/>
        </w:rPr>
      </w:pPr>
    </w:p>
    <w:p w14:paraId="313A5CA9" w14:textId="7A7C629E" w:rsidR="0011558A" w:rsidRPr="00F9134B" w:rsidRDefault="0011558A" w:rsidP="00F9134B">
      <w:pPr>
        <w:spacing w:before="0" w:beforeAutospacing="0" w:after="0" w:afterAutospacing="0"/>
      </w:pPr>
      <w:r w:rsidRPr="00F9134B">
        <w:t>In relat</w:t>
      </w:r>
      <w:r w:rsidR="00A133DE" w:rsidRPr="00F9134B">
        <w:t>ion to</w:t>
      </w:r>
      <w:r w:rsidRPr="00F9134B">
        <w:t xml:space="preserve"> the dialogue with civil society on women, peace and security issues, </w:t>
      </w:r>
      <w:r w:rsidR="00397F94" w:rsidRPr="00F9134B">
        <w:t xml:space="preserve">the EUD in Albania has supported the WPS agenda and processes around the NAP on UNSCR 1325., together with the OSCE, UN Women and the Dutch Embassy. While the issue has been raised in meetings between the EUD and WCSOs, there have not been dedicated dialogues on WPS in the reporting period. </w:t>
      </w:r>
    </w:p>
    <w:p w14:paraId="27017CFD" w14:textId="77777777" w:rsidR="003C587E" w:rsidRPr="00F9134B" w:rsidRDefault="003C587E" w:rsidP="00F9134B">
      <w:pPr>
        <w:spacing w:before="0" w:beforeAutospacing="0" w:after="0" w:afterAutospacing="0"/>
        <w:jc w:val="left"/>
      </w:pPr>
    </w:p>
    <w:bookmarkEnd w:id="1"/>
    <w:p w14:paraId="7F24B539"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jc w:val="left"/>
        <w:outlineLvl w:val="1"/>
        <w:rPr>
          <w:rFonts w:cs="Arial"/>
          <w:b/>
          <w:bCs/>
          <w:caps/>
          <w:spacing w:val="15"/>
        </w:rPr>
      </w:pPr>
      <w:r w:rsidRPr="00F9134B">
        <w:rPr>
          <w:rFonts w:cs="Arial"/>
          <w:b/>
          <w:bCs/>
          <w:caps/>
          <w:spacing w:val="15"/>
        </w:rPr>
        <w:t>Criterion D. EU mainstreams gender in all actions and targeted actions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3"/>
        <w:gridCol w:w="1733"/>
      </w:tblGrid>
      <w:tr w:rsidR="0011558A" w:rsidRPr="00F9134B" w14:paraId="3FEC6292" w14:textId="77777777" w:rsidTr="1FF48150">
        <w:tc>
          <w:tcPr>
            <w:tcW w:w="7843" w:type="dxa"/>
            <w:tcBorders>
              <w:top w:val="single" w:sz="4" w:space="0" w:color="auto"/>
              <w:left w:val="single" w:sz="4" w:space="0" w:color="auto"/>
              <w:bottom w:val="single" w:sz="4" w:space="0" w:color="auto"/>
              <w:right w:val="single" w:sz="4" w:space="0" w:color="auto"/>
            </w:tcBorders>
            <w:hideMark/>
          </w:tcPr>
          <w:p w14:paraId="3E493834" w14:textId="1CF2047E" w:rsidR="0011558A" w:rsidRPr="00F9134B" w:rsidRDefault="0011558A" w:rsidP="00F9134B">
            <w:pPr>
              <w:pStyle w:val="ListParagraph"/>
              <w:numPr>
                <w:ilvl w:val="0"/>
                <w:numId w:val="3"/>
              </w:numPr>
              <w:spacing w:before="0" w:beforeAutospacing="0" w:afterAutospacing="0"/>
              <w:jc w:val="left"/>
              <w:rPr>
                <w:rFonts w:ascii="Cambria" w:hAnsi="Cambria"/>
              </w:rPr>
            </w:pPr>
            <w:r w:rsidRPr="00F9134B">
              <w:rPr>
                <w:rFonts w:ascii="Cambria" w:eastAsia="Cambria" w:hAnsi="Cambria" w:cs="Cambria"/>
              </w:rPr>
              <w:t>Number and % of new actions</w:t>
            </w:r>
            <w:r w:rsidRPr="00F9134B">
              <w:rPr>
                <w:rFonts w:ascii="Cambria" w:hAnsi="Cambria"/>
                <w:vertAlign w:val="superscript"/>
              </w:rPr>
              <w:footnoteReference w:id="21"/>
            </w:r>
            <w:r w:rsidRPr="00F9134B">
              <w:rPr>
                <w:rFonts w:ascii="Cambria" w:eastAsia="Cambria" w:hAnsi="Cambria" w:cs="Cambria"/>
              </w:rPr>
              <w:t xml:space="preserve"> that are gender responsive / targeted (</w:t>
            </w:r>
            <w:bookmarkStart w:id="2" w:name="_Hlk74570350"/>
            <w:r w:rsidRPr="00F9134B">
              <w:rPr>
                <w:rFonts w:ascii="Cambria" w:eastAsia="Cambria" w:hAnsi="Cambria" w:cs="Cambria"/>
              </w:rPr>
              <w:t>GM</w:t>
            </w:r>
            <w:bookmarkEnd w:id="2"/>
            <w:r w:rsidRPr="00F9134B">
              <w:rPr>
                <w:rFonts w:ascii="Cambria" w:eastAsia="Cambria" w:hAnsi="Cambria" w:cs="Cambria"/>
              </w:rPr>
              <w:t>1 + GM2) at country level (indicator 1.1 GAP III)</w:t>
            </w:r>
          </w:p>
        </w:tc>
        <w:tc>
          <w:tcPr>
            <w:tcW w:w="1733" w:type="dxa"/>
            <w:tcBorders>
              <w:top w:val="single" w:sz="4" w:space="0" w:color="auto"/>
              <w:left w:val="single" w:sz="4" w:space="0" w:color="auto"/>
              <w:bottom w:val="single" w:sz="4" w:space="0" w:color="auto"/>
              <w:right w:val="single" w:sz="4" w:space="0" w:color="auto"/>
            </w:tcBorders>
            <w:hideMark/>
          </w:tcPr>
          <w:p w14:paraId="19FDFD55" w14:textId="77777777" w:rsidR="0011558A" w:rsidRPr="00F9134B" w:rsidRDefault="0011558A" w:rsidP="00F9134B">
            <w:pPr>
              <w:spacing w:before="0" w:beforeAutospacing="0" w:after="0" w:afterAutospacing="0"/>
              <w:jc w:val="left"/>
            </w:pPr>
            <w:r w:rsidRPr="00F9134B">
              <w:t>5 (100%)</w:t>
            </w:r>
          </w:p>
        </w:tc>
      </w:tr>
      <w:tr w:rsidR="0011558A" w:rsidRPr="00F9134B" w14:paraId="3B459B52" w14:textId="77777777" w:rsidTr="1FF48150">
        <w:tc>
          <w:tcPr>
            <w:tcW w:w="7843" w:type="dxa"/>
            <w:tcBorders>
              <w:top w:val="single" w:sz="4" w:space="0" w:color="auto"/>
              <w:left w:val="single" w:sz="4" w:space="0" w:color="auto"/>
              <w:bottom w:val="single" w:sz="4" w:space="0" w:color="auto"/>
              <w:right w:val="single" w:sz="4" w:space="0" w:color="auto"/>
            </w:tcBorders>
            <w:hideMark/>
          </w:tcPr>
          <w:p w14:paraId="6A8E59D2" w14:textId="77777777" w:rsidR="0011558A" w:rsidRPr="00F9134B" w:rsidRDefault="0011558A" w:rsidP="00F9134B">
            <w:pPr>
              <w:numPr>
                <w:ilvl w:val="0"/>
                <w:numId w:val="3"/>
              </w:numPr>
              <w:spacing w:before="0" w:beforeAutospacing="0" w:after="0" w:afterAutospacing="0"/>
              <w:ind w:left="360" w:firstLine="0"/>
              <w:jc w:val="left"/>
            </w:pPr>
            <w:r w:rsidRPr="00F9134B">
              <w:rPr>
                <w:rFonts w:eastAsia="Cambria" w:cs="Cambria"/>
              </w:rPr>
              <w:t>Number and % of new gender targeted action (GM2) implemented from national allocation (indicator 1.2 GAP III)</w:t>
            </w:r>
          </w:p>
        </w:tc>
        <w:tc>
          <w:tcPr>
            <w:tcW w:w="1733" w:type="dxa"/>
            <w:tcBorders>
              <w:top w:val="single" w:sz="4" w:space="0" w:color="auto"/>
              <w:left w:val="single" w:sz="4" w:space="0" w:color="auto"/>
              <w:bottom w:val="single" w:sz="4" w:space="0" w:color="auto"/>
              <w:right w:val="single" w:sz="4" w:space="0" w:color="auto"/>
            </w:tcBorders>
          </w:tcPr>
          <w:p w14:paraId="7218C4DF" w14:textId="377DCA35" w:rsidR="0011558A" w:rsidRPr="00F9134B" w:rsidRDefault="00E14AC9" w:rsidP="00F9134B">
            <w:pPr>
              <w:spacing w:before="0" w:beforeAutospacing="0" w:after="0" w:afterAutospacing="0"/>
              <w:jc w:val="left"/>
            </w:pPr>
            <w:r w:rsidRPr="00F9134B">
              <w:t>0</w:t>
            </w:r>
          </w:p>
        </w:tc>
      </w:tr>
      <w:tr w:rsidR="0011558A" w:rsidRPr="00F9134B" w14:paraId="74076F2B" w14:textId="77777777" w:rsidTr="1FF48150">
        <w:tc>
          <w:tcPr>
            <w:tcW w:w="7843" w:type="dxa"/>
            <w:tcBorders>
              <w:top w:val="single" w:sz="4" w:space="0" w:color="auto"/>
              <w:left w:val="single" w:sz="4" w:space="0" w:color="auto"/>
              <w:bottom w:val="single" w:sz="4" w:space="0" w:color="auto"/>
              <w:right w:val="single" w:sz="4" w:space="0" w:color="auto"/>
            </w:tcBorders>
            <w:hideMark/>
          </w:tcPr>
          <w:p w14:paraId="78645973" w14:textId="77777777" w:rsidR="0011558A" w:rsidRPr="00F9134B" w:rsidRDefault="0011558A" w:rsidP="00F9134B">
            <w:pPr>
              <w:numPr>
                <w:ilvl w:val="0"/>
                <w:numId w:val="3"/>
              </w:numPr>
              <w:spacing w:before="0" w:beforeAutospacing="0" w:after="0" w:afterAutospacing="0"/>
              <w:ind w:left="360" w:firstLine="0"/>
              <w:jc w:val="left"/>
            </w:pPr>
            <w:r w:rsidRPr="00F9134B">
              <w:rPr>
                <w:rFonts w:eastAsia="Cambria" w:cs="Cambria"/>
              </w:rPr>
              <w:t>Total funding in support of gender equality at country level (GM1 + GM2) (indicator 1.3 GAP III)</w:t>
            </w:r>
          </w:p>
        </w:tc>
        <w:tc>
          <w:tcPr>
            <w:tcW w:w="1733" w:type="dxa"/>
            <w:tcBorders>
              <w:top w:val="single" w:sz="4" w:space="0" w:color="auto"/>
              <w:left w:val="single" w:sz="4" w:space="0" w:color="auto"/>
              <w:bottom w:val="single" w:sz="4" w:space="0" w:color="auto"/>
              <w:right w:val="single" w:sz="4" w:space="0" w:color="auto"/>
            </w:tcBorders>
          </w:tcPr>
          <w:p w14:paraId="3CC8879D" w14:textId="2C91CFCF" w:rsidR="0011558A" w:rsidRPr="00F9134B" w:rsidRDefault="00E14AC9" w:rsidP="00F9134B">
            <w:pPr>
              <w:spacing w:before="0" w:beforeAutospacing="0" w:after="0" w:afterAutospacing="0"/>
              <w:jc w:val="left"/>
            </w:pPr>
            <w:r w:rsidRPr="00F9134B">
              <w:t xml:space="preserve">64 million </w:t>
            </w:r>
            <w:r w:rsidR="00BF68A7" w:rsidRPr="00F9134B">
              <w:t>E</w:t>
            </w:r>
            <w:r w:rsidRPr="00F9134B">
              <w:t>uro</w:t>
            </w:r>
          </w:p>
        </w:tc>
      </w:tr>
      <w:tr w:rsidR="0011558A" w:rsidRPr="00F9134B" w14:paraId="615CDFA3" w14:textId="77777777" w:rsidTr="1FF48150">
        <w:tc>
          <w:tcPr>
            <w:tcW w:w="7843" w:type="dxa"/>
            <w:tcBorders>
              <w:top w:val="single" w:sz="4" w:space="0" w:color="auto"/>
              <w:left w:val="single" w:sz="4" w:space="0" w:color="auto"/>
              <w:bottom w:val="single" w:sz="4" w:space="0" w:color="auto"/>
              <w:right w:val="single" w:sz="4" w:space="0" w:color="auto"/>
            </w:tcBorders>
            <w:hideMark/>
          </w:tcPr>
          <w:p w14:paraId="5C40BC5B" w14:textId="77777777" w:rsidR="0011558A" w:rsidRPr="00F9134B" w:rsidRDefault="0011558A" w:rsidP="00F9134B">
            <w:pPr>
              <w:numPr>
                <w:ilvl w:val="0"/>
                <w:numId w:val="3"/>
              </w:numPr>
              <w:spacing w:before="0" w:beforeAutospacing="0" w:after="0" w:afterAutospacing="0"/>
              <w:ind w:left="360" w:firstLine="0"/>
              <w:jc w:val="left"/>
            </w:pPr>
            <w:r w:rsidRPr="00F9134B">
              <w:rPr>
                <w:rFonts w:eastAsia="Cambria" w:cs="Cambria"/>
              </w:rPr>
              <w:t>Amount of funding directed towards women’s organisations and movements at country level (indicator 1.4 GAP III)</w:t>
            </w:r>
          </w:p>
        </w:tc>
        <w:tc>
          <w:tcPr>
            <w:tcW w:w="1733" w:type="dxa"/>
            <w:tcBorders>
              <w:top w:val="single" w:sz="4" w:space="0" w:color="auto"/>
              <w:left w:val="single" w:sz="4" w:space="0" w:color="auto"/>
              <w:bottom w:val="single" w:sz="4" w:space="0" w:color="auto"/>
              <w:right w:val="single" w:sz="4" w:space="0" w:color="auto"/>
            </w:tcBorders>
          </w:tcPr>
          <w:p w14:paraId="3A86D317" w14:textId="77777777" w:rsidR="0011558A" w:rsidRPr="00F9134B" w:rsidRDefault="008D359F" w:rsidP="00F9134B">
            <w:pPr>
              <w:spacing w:before="0" w:beforeAutospacing="0" w:after="0" w:afterAutospacing="0"/>
              <w:jc w:val="left"/>
            </w:pPr>
            <w:r w:rsidRPr="00F9134B">
              <w:t>Cannot be concluded</w:t>
            </w:r>
          </w:p>
        </w:tc>
      </w:tr>
      <w:tr w:rsidR="0011558A" w:rsidRPr="00F9134B" w14:paraId="486546A8" w14:textId="77777777" w:rsidTr="1FF48150">
        <w:tc>
          <w:tcPr>
            <w:tcW w:w="7843" w:type="dxa"/>
            <w:tcBorders>
              <w:top w:val="single" w:sz="4" w:space="0" w:color="auto"/>
              <w:left w:val="single" w:sz="4" w:space="0" w:color="auto"/>
              <w:bottom w:val="single" w:sz="4" w:space="0" w:color="auto"/>
              <w:right w:val="single" w:sz="4" w:space="0" w:color="auto"/>
            </w:tcBorders>
            <w:hideMark/>
          </w:tcPr>
          <w:p w14:paraId="42FC5897" w14:textId="77777777" w:rsidR="0011558A" w:rsidRPr="00F9134B" w:rsidRDefault="0011558A" w:rsidP="00F9134B">
            <w:pPr>
              <w:numPr>
                <w:ilvl w:val="0"/>
                <w:numId w:val="3"/>
              </w:numPr>
              <w:spacing w:before="0" w:beforeAutospacing="0" w:after="0" w:afterAutospacing="0"/>
              <w:ind w:left="360" w:firstLine="0"/>
              <w:jc w:val="left"/>
            </w:pPr>
            <w:r w:rsidRPr="00F9134B">
              <w:rPr>
                <w:rFonts w:eastAsia="Cambria" w:cs="Cambria"/>
              </w:rPr>
              <w:t>% of new actions supporting public finance management reforms that include a gender budgeting component (indicator 3.1 GAP III)</w:t>
            </w:r>
          </w:p>
        </w:tc>
        <w:tc>
          <w:tcPr>
            <w:tcW w:w="1733" w:type="dxa"/>
            <w:tcBorders>
              <w:top w:val="single" w:sz="4" w:space="0" w:color="auto"/>
              <w:left w:val="single" w:sz="4" w:space="0" w:color="auto"/>
              <w:bottom w:val="single" w:sz="4" w:space="0" w:color="auto"/>
              <w:right w:val="single" w:sz="4" w:space="0" w:color="auto"/>
            </w:tcBorders>
          </w:tcPr>
          <w:p w14:paraId="65DF73AB" w14:textId="77777777" w:rsidR="0011558A" w:rsidRPr="00F9134B" w:rsidRDefault="008D359F" w:rsidP="00F9134B">
            <w:pPr>
              <w:spacing w:before="0" w:beforeAutospacing="0" w:after="0" w:afterAutospacing="0"/>
              <w:jc w:val="left"/>
            </w:pPr>
            <w:r w:rsidRPr="00F9134B">
              <w:t>Cannot be concluded</w:t>
            </w:r>
          </w:p>
        </w:tc>
      </w:tr>
    </w:tbl>
    <w:p w14:paraId="70546535" w14:textId="77777777" w:rsidR="008D359F" w:rsidRPr="00F9134B" w:rsidRDefault="008D359F" w:rsidP="00F9134B">
      <w:pPr>
        <w:spacing w:before="0" w:beforeAutospacing="0" w:after="0" w:afterAutospacing="0"/>
        <w:jc w:val="left"/>
      </w:pPr>
    </w:p>
    <w:p w14:paraId="7992AC14" w14:textId="1A8D0A67" w:rsidR="009C679B" w:rsidRPr="00F9134B" w:rsidRDefault="009C679B" w:rsidP="00F9134B">
      <w:pPr>
        <w:spacing w:before="0" w:beforeAutospacing="0" w:after="0" w:afterAutospacing="0"/>
      </w:pPr>
    </w:p>
    <w:p w14:paraId="422972DA" w14:textId="6568A38D" w:rsidR="000076BA" w:rsidRPr="00F9134B" w:rsidRDefault="00BF68A7" w:rsidP="00F9134B">
      <w:pPr>
        <w:spacing w:before="0" w:beforeAutospacing="0" w:after="0" w:afterAutospacing="0"/>
      </w:pPr>
      <w:r w:rsidRPr="00F9134B">
        <w:t>In 2021, there are five new projects funded under IPA III for 2021 in Albania, which the report analysed (EU for justice; E</w:t>
      </w:r>
      <w:r w:rsidR="00DA4E8A" w:rsidRPr="00F9134B">
        <w:t>U</w:t>
      </w:r>
      <w:r w:rsidRPr="00F9134B">
        <w:t xml:space="preserve"> for property rights (phase II); EU for Nature; E</w:t>
      </w:r>
      <w:r w:rsidR="00DA4E8A" w:rsidRPr="00F9134B">
        <w:t>U</w:t>
      </w:r>
      <w:r w:rsidRPr="00F9134B">
        <w:t xml:space="preserve"> for circular economy and green growth; EU for Innovation).</w:t>
      </w:r>
      <w:r w:rsidRPr="00F9134B">
        <w:rPr>
          <w:rStyle w:val="FootnoteReference"/>
        </w:rPr>
        <w:footnoteReference w:id="22"/>
      </w:r>
      <w:r w:rsidRPr="00F9134B">
        <w:t xml:space="preserve"> All project</w:t>
      </w:r>
      <w:r w:rsidR="00924004" w:rsidRPr="00F9134B">
        <w:t>s</w:t>
      </w:r>
      <w:r w:rsidRPr="00F9134B">
        <w:t xml:space="preserve"> are marked GM1 (having gender as </w:t>
      </w:r>
      <w:r w:rsidR="00377E33" w:rsidRPr="00F9134B">
        <w:t>a significant</w:t>
      </w:r>
      <w:r w:rsidRPr="00F9134B">
        <w:t xml:space="preserve"> objective) the DAC G-Marker: Gender equality and women’s and girl’s empowerment.</w:t>
      </w:r>
      <w:r w:rsidR="00DA4E8A" w:rsidRPr="00F9134B">
        <w:rPr>
          <w:rStyle w:val="FootnoteReference"/>
        </w:rPr>
        <w:footnoteReference w:id="23"/>
      </w:r>
      <w:r w:rsidRPr="00F9134B">
        <w:t xml:space="preserve"> In general, each document has a section that explains gender mainstreaming of the action, however, not all of them are mainstreamed throughout the document.</w:t>
      </w:r>
      <w:r w:rsidRPr="00F9134B">
        <w:rPr>
          <w:rStyle w:val="FootnoteReference"/>
        </w:rPr>
        <w:footnoteReference w:id="24"/>
      </w:r>
    </w:p>
    <w:p w14:paraId="77DE6ADD" w14:textId="77777777" w:rsidR="00DA4E8A" w:rsidRPr="00F9134B" w:rsidRDefault="00DA4E8A" w:rsidP="00F9134B">
      <w:pPr>
        <w:spacing w:before="0" w:beforeAutospacing="0" w:after="0" w:afterAutospacing="0"/>
      </w:pPr>
    </w:p>
    <w:p w14:paraId="772CF7E9" w14:textId="77777777" w:rsidR="000076BA" w:rsidRPr="00F9134B" w:rsidRDefault="00BF68A7" w:rsidP="00F9134B">
      <w:pPr>
        <w:spacing w:before="0" w:beforeAutospacing="0" w:after="0" w:afterAutospacing="0"/>
      </w:pPr>
      <w:r w:rsidRPr="00F9134B">
        <w:t>The EU for Justice action document</w:t>
      </w:r>
      <w:r w:rsidRPr="00F9134B">
        <w:rPr>
          <w:rStyle w:val="FootnoteReference"/>
        </w:rPr>
        <w:footnoteReference w:id="25"/>
      </w:r>
      <w:r w:rsidRPr="00F9134B">
        <w:t xml:space="preserve"> aims to strengthen rule of law and trust in the justice system through support to the justice reform process in Albania, with a focus on increasing efficiency and transparency of the system and improving professionalism of the Albanian justice system. Its estimated total budget is 8 million Euros. The indicative activities listed do not make any reference to gender equality and gender mainstreaming. The Action, under the section on gender mainstreaming, purports that all activities are in line with the Gender Action Plan III. It mentions the professional development of women in this sector, women’s access to the justice system, which is often hampered by lack of financial means, lack of knowledge and the society’s perception of the position of women in the family. However, the context</w:t>
      </w:r>
      <w:r w:rsidR="00397F94" w:rsidRPr="00F9134B">
        <w:t>,</w:t>
      </w:r>
      <w:r w:rsidRPr="00F9134B">
        <w:t xml:space="preserve"> problem analysis </w:t>
      </w:r>
      <w:r w:rsidR="00397F94" w:rsidRPr="00F9134B">
        <w:t>and results framework do not include sex-disaggregated data.</w:t>
      </w:r>
      <w:r w:rsidRPr="00F9134B">
        <w:t xml:space="preserve"> Therefore, two of the </w:t>
      </w:r>
      <w:r w:rsidR="000076BA" w:rsidRPr="00F9134B">
        <w:t>criteria’s:</w:t>
      </w:r>
    </w:p>
    <w:p w14:paraId="59EC6288" w14:textId="77777777" w:rsidR="000076BA" w:rsidRPr="00F9134B" w:rsidRDefault="000076BA" w:rsidP="00F9134B">
      <w:pPr>
        <w:pStyle w:val="ListParagraph"/>
        <w:numPr>
          <w:ilvl w:val="0"/>
          <w:numId w:val="19"/>
        </w:numPr>
        <w:spacing w:before="0" w:beforeAutospacing="0" w:afterAutospacing="0"/>
        <w:rPr>
          <w:rFonts w:ascii="Cambria" w:hAnsi="Cambria"/>
        </w:rPr>
      </w:pPr>
      <w:r w:rsidRPr="00F9134B">
        <w:rPr>
          <w:rFonts w:ascii="Cambria" w:hAnsi="Cambria"/>
        </w:rPr>
        <w:t>Findings from this gender analysis have informed the design of the project/programme and the intervention adopts a ‘do no harm’ approach</w:t>
      </w:r>
    </w:p>
    <w:p w14:paraId="57893372" w14:textId="408F70EF" w:rsidR="000076BA" w:rsidRPr="00F9134B" w:rsidRDefault="000076BA" w:rsidP="00F9134B">
      <w:pPr>
        <w:pStyle w:val="ListParagraph"/>
        <w:numPr>
          <w:ilvl w:val="0"/>
          <w:numId w:val="19"/>
        </w:numPr>
        <w:spacing w:before="0" w:beforeAutospacing="0" w:afterAutospacing="0"/>
        <w:rPr>
          <w:rFonts w:ascii="Cambria" w:hAnsi="Cambria"/>
        </w:rPr>
      </w:pPr>
      <w:r w:rsidRPr="00F9134B">
        <w:rPr>
          <w:rFonts w:ascii="Cambria" w:hAnsi="Cambria"/>
        </w:rPr>
        <w:t>A gender analysis of the project/programme has been conducted</w:t>
      </w:r>
    </w:p>
    <w:p w14:paraId="4338FA03" w14:textId="77777777" w:rsidR="000076BA" w:rsidRPr="00F9134B" w:rsidRDefault="000076BA" w:rsidP="00F9134B">
      <w:pPr>
        <w:spacing w:before="0" w:beforeAutospacing="0" w:after="0" w:afterAutospacing="0"/>
      </w:pPr>
    </w:p>
    <w:p w14:paraId="17F9A917" w14:textId="7CDDA865" w:rsidR="00BF68A7" w:rsidRPr="00F9134B" w:rsidRDefault="00BF68A7" w:rsidP="00F9134B">
      <w:pPr>
        <w:spacing w:before="0" w:beforeAutospacing="0" w:after="0" w:afterAutospacing="0"/>
      </w:pPr>
      <w:r w:rsidRPr="00F9134B">
        <w:t xml:space="preserve"> for the receiving a score 1 on the DAC-GM are partially met. The action does not have a specific gender equality objective listed, however there is one gender-specific indicator under outcome 1: “Consistent reporting on cases of domestic violence, discrimination and property claims with women owners.” Based on the above, the criteria for receiving a score of 1 in the DAC-GM are not fully met.</w:t>
      </w:r>
    </w:p>
    <w:p w14:paraId="41DF6DA7" w14:textId="77777777" w:rsidR="00DA4E8A" w:rsidRPr="00F9134B" w:rsidRDefault="00DA4E8A" w:rsidP="00F9134B">
      <w:pPr>
        <w:spacing w:before="0" w:beforeAutospacing="0" w:after="0" w:afterAutospacing="0"/>
      </w:pPr>
    </w:p>
    <w:p w14:paraId="112D80BC" w14:textId="21FEAA7E" w:rsidR="00BF68A7" w:rsidRPr="00F9134B" w:rsidRDefault="00BF68A7" w:rsidP="00F9134B">
      <w:pPr>
        <w:spacing w:before="0" w:beforeAutospacing="0" w:after="0" w:afterAutospacing="0"/>
      </w:pPr>
      <w:r w:rsidRPr="00F9134B">
        <w:t>The EU for Property Rights Action</w:t>
      </w:r>
      <w:r w:rsidRPr="00F9134B">
        <w:rPr>
          <w:rStyle w:val="FootnoteReference"/>
        </w:rPr>
        <w:footnoteReference w:id="26"/>
      </w:r>
      <w:r w:rsidRPr="00F9134B">
        <w:t xml:space="preserve"> aims to contribute to the strengthening of the protection of the fundamental right to property in Albania</w:t>
      </w:r>
      <w:r w:rsidR="00397F94" w:rsidRPr="00F9134B">
        <w:t xml:space="preserve"> with a total</w:t>
      </w:r>
      <w:r w:rsidRPr="00F9134B">
        <w:t xml:space="preserve"> budget </w:t>
      </w:r>
      <w:r w:rsidR="00397F94" w:rsidRPr="00F9134B">
        <w:t>of</w:t>
      </w:r>
      <w:r w:rsidRPr="00F9134B">
        <w:t xml:space="preserve"> 10 million Euros. The summary of the action makes it clear that attention needs to be paid to ensuring women’s rights to property are fully respected. It further makes specific mention to women’s property rights in its context analysis and the description of the action, which contains specific data on this area. Women property rights is treated as a cross-cutting issue under the description of the action and the areas of intervention. Under the gender mainstreaming strategy data is presented on women’s access to and ownership of land. The results framework itself has only one indicator related to % of properties owned by women, but the outputs themselves are not gender mainstreamed. This Action largely fulfils the criteria for receiving a GM 1, but at least one output should have been specifically dedicated to women’s property rights, considering how much importance the rest of the document places on this issue. </w:t>
      </w:r>
    </w:p>
    <w:p w14:paraId="19B06E89" w14:textId="7A57355B" w:rsidR="00BF68A7" w:rsidRPr="00F9134B" w:rsidRDefault="00BF68A7" w:rsidP="00F9134B">
      <w:pPr>
        <w:spacing w:before="0" w:beforeAutospacing="0" w:after="0" w:afterAutospacing="0"/>
      </w:pPr>
      <w:r w:rsidRPr="00F9134B">
        <w:t xml:space="preserve">The EU for Nature Action aims to contribute to the effective management of the protected areas as well as to the establishment of new protected areas as part of the Natura 2000 </w:t>
      </w:r>
      <w:r w:rsidR="000076BA" w:rsidRPr="00F9134B">
        <w:t>network.</w:t>
      </w:r>
      <w:r w:rsidRPr="00F9134B">
        <w:rPr>
          <w:rStyle w:val="FootnoteReference"/>
        </w:rPr>
        <w:footnoteReference w:id="27"/>
      </w:r>
      <w:r w:rsidRPr="00F9134B">
        <w:t xml:space="preserve"> The gender </w:t>
      </w:r>
      <w:r w:rsidRPr="00F9134B">
        <w:lastRenderedPageBreak/>
        <w:t>mainstreaming strategy notes the lack of data and gender analyses in this sector and foresees the development of a baseline gender needs assessment proposing the methodology and concrete recommendations for gender actions. Th</w:t>
      </w:r>
      <w:r w:rsidR="00397F94" w:rsidRPr="00F9134B">
        <w:t>e Action commits to undertake</w:t>
      </w:r>
      <w:r w:rsidRPr="00F9134B">
        <w:t xml:space="preserve"> gender analysis to ensure gender mainstreaming across </w:t>
      </w:r>
      <w:r w:rsidR="000076BA" w:rsidRPr="00F9134B">
        <w:t>activities.</w:t>
      </w:r>
      <w:r w:rsidRPr="00F9134B">
        <w:t xml:space="preserve"> The gender mainstreaming approach of the Action </w:t>
      </w:r>
      <w:r w:rsidR="00397F94" w:rsidRPr="00F9134B">
        <w:t xml:space="preserve">aims to ensure </w:t>
      </w:r>
      <w:r w:rsidRPr="00F9134B">
        <w:t>equal access to resources and opportunities; participation of women in planning processes and awareness activities and fostering equal opportunities through economic activities. This Action presents more measures in its gender mainstreaming section on how women will benefit and/or participate in the action. However, the results framework has only one indicator that foresees sex disaggregated data, while Output 8 of Outcome 1 “Increase communication, awareness and engagement of communities and private sector in nature conservation and Natura 2000”, which is the most relevant to collect sex disaggregated data, does not include a relevant indicator. Therefore, this A</w:t>
      </w:r>
      <w:r w:rsidR="00DA4E8A" w:rsidRPr="00F9134B">
        <w:t>ction</w:t>
      </w:r>
      <w:r w:rsidRPr="00F9134B">
        <w:t xml:space="preserve"> meets some</w:t>
      </w:r>
      <w:r w:rsidR="00397F94" w:rsidRPr="00F9134B">
        <w:t xml:space="preserve"> but not all</w:t>
      </w:r>
      <w:r w:rsidRPr="00F9134B">
        <w:t xml:space="preserve"> of the criteria for receiving a GM 1</w:t>
      </w:r>
      <w:r w:rsidR="00397F94" w:rsidRPr="00F9134B">
        <w:t>.</w:t>
      </w:r>
      <w:r w:rsidRPr="00F9134B">
        <w:t xml:space="preserve"> </w:t>
      </w:r>
    </w:p>
    <w:p w14:paraId="208D4720" w14:textId="77777777" w:rsidR="00BF68A7" w:rsidRPr="00F9134B" w:rsidRDefault="00BF68A7" w:rsidP="00F9134B">
      <w:pPr>
        <w:spacing w:before="0" w:beforeAutospacing="0" w:after="0" w:afterAutospacing="0"/>
      </w:pPr>
    </w:p>
    <w:p w14:paraId="66EE69CB" w14:textId="7EA6DBCA" w:rsidR="00BF68A7" w:rsidRPr="00F9134B" w:rsidRDefault="00BF68A7" w:rsidP="00F9134B">
      <w:pPr>
        <w:spacing w:before="0" w:beforeAutospacing="0" w:after="0" w:afterAutospacing="0"/>
      </w:pPr>
      <w:r w:rsidRPr="00F9134B">
        <w:t>The EU for Circular Economy Action Document aims to contribute to improving the protection of the environment and developing inclusive and gender responsive circular economy and sustainable green growth in Albania</w:t>
      </w:r>
      <w:r w:rsidR="00397F94" w:rsidRPr="00F9134B">
        <w:t xml:space="preserve"> with a</w:t>
      </w:r>
      <w:r w:rsidRPr="00F9134B">
        <w:t xml:space="preserve"> budget </w:t>
      </w:r>
      <w:r w:rsidR="00397F94" w:rsidRPr="00F9134B">
        <w:t>of</w:t>
      </w:r>
      <w:r w:rsidRPr="00F9134B">
        <w:t xml:space="preserve"> 30.9 million Euros. It</w:t>
      </w:r>
      <w:r w:rsidR="00DA4E8A" w:rsidRPr="00F9134B">
        <w:t>s</w:t>
      </w:r>
      <w:r w:rsidRPr="00F9134B">
        <w:t xml:space="preserve"> context analysis extensively refers to women and men’s contributions and challenges within circular economy. </w:t>
      </w:r>
      <w:r w:rsidR="00397F94" w:rsidRPr="00F9134B">
        <w:t>G</w:t>
      </w:r>
      <w:r w:rsidRPr="00F9134B">
        <w:t>ender equality is not only mentioned in the gender mainstreaming strategy but across the document. This A</w:t>
      </w:r>
      <w:r w:rsidR="00DA4E8A" w:rsidRPr="00F9134B">
        <w:t>ction</w:t>
      </w:r>
      <w:r w:rsidRPr="00F9134B">
        <w:t xml:space="preserve"> contains more measures, outputs and activities that integrate gender </w:t>
      </w:r>
      <w:r w:rsidR="00397F94" w:rsidRPr="00F9134B">
        <w:t xml:space="preserve">largely fulfilling the criteria do be marked GM1. </w:t>
      </w:r>
      <w:r w:rsidRPr="00F9134B">
        <w:t xml:space="preserve"> </w:t>
      </w:r>
    </w:p>
    <w:p w14:paraId="635D8269" w14:textId="77777777" w:rsidR="00BF68A7" w:rsidRPr="00F9134B" w:rsidRDefault="00BF68A7" w:rsidP="00F9134B">
      <w:pPr>
        <w:spacing w:before="0" w:beforeAutospacing="0" w:after="0" w:afterAutospacing="0"/>
      </w:pPr>
    </w:p>
    <w:p w14:paraId="413F83E1" w14:textId="6D513EA6" w:rsidR="00BF68A7" w:rsidRPr="00F9134B" w:rsidRDefault="00BF68A7" w:rsidP="00F9134B">
      <w:pPr>
        <w:spacing w:before="0" w:beforeAutospacing="0" w:after="0" w:afterAutospacing="0"/>
      </w:pPr>
      <w:r w:rsidRPr="00F9134B">
        <w:t>The EU for Innovation Action</w:t>
      </w:r>
      <w:r w:rsidRPr="00F9134B">
        <w:rPr>
          <w:rStyle w:val="FootnoteReference"/>
        </w:rPr>
        <w:footnoteReference w:id="28"/>
      </w:r>
      <w:r w:rsidRPr="00F9134B">
        <w:t xml:space="preserve"> aims to support Albania to accelerate the transformation to a more innovation-driven and knowledge-based economy embracing the opportunities from the green and digital transition, unlocking its human capital and entrepreneurial potential and thereby increasing its competitiveness</w:t>
      </w:r>
      <w:r w:rsidR="00397F94" w:rsidRPr="00F9134B">
        <w:t xml:space="preserve"> with a</w:t>
      </w:r>
      <w:r w:rsidRPr="00F9134B">
        <w:t xml:space="preserve"> budget is 10 million euros.  According to its gender mainstreaming strategy the Action will contribute to gender equality by mainstreaming a gender perspective into all activities. It mentions specifically a gender analysis conducted under the first phase of this action and how the findings will be used to address barriers that women face in entrepreneurship and innovation possibilities. Compared to other action documents, the EU for innovation includes more </w:t>
      </w:r>
      <w:r w:rsidR="00397F94" w:rsidRPr="00F9134B">
        <w:t>sex-disaggregated</w:t>
      </w:r>
      <w:r w:rsidRPr="00F9134B">
        <w:t xml:space="preserve"> along different outputs, even though the result framework does not contain gender-targeted outputs or outcomes. </w:t>
      </w:r>
      <w:r w:rsidR="00397F94" w:rsidRPr="00F9134B">
        <w:t>Hence</w:t>
      </w:r>
      <w:r w:rsidRPr="00F9134B">
        <w:t>, this A</w:t>
      </w:r>
      <w:r w:rsidR="00DA4E8A" w:rsidRPr="00F9134B">
        <w:t>ction</w:t>
      </w:r>
      <w:r w:rsidRPr="00F9134B">
        <w:t xml:space="preserve"> </w:t>
      </w:r>
      <w:r w:rsidR="00397F94" w:rsidRPr="00F9134B">
        <w:t>does not fully comply with</w:t>
      </w:r>
      <w:r w:rsidRPr="00F9134B">
        <w:t xml:space="preserve"> the criteria for receiving a GM1.</w:t>
      </w:r>
    </w:p>
    <w:p w14:paraId="486057EE" w14:textId="33BFF151" w:rsidR="1FF48150" w:rsidRPr="00F9134B" w:rsidRDefault="1FF48150" w:rsidP="00F9134B">
      <w:pPr>
        <w:spacing w:before="0" w:beforeAutospacing="0" w:after="0" w:afterAutospacing="0"/>
      </w:pPr>
    </w:p>
    <w:p w14:paraId="3DBA54AB" w14:textId="3131DDA0" w:rsidR="1FF48150" w:rsidRPr="00F9134B" w:rsidRDefault="1FF48150" w:rsidP="00F9134B">
      <w:pPr>
        <w:spacing w:before="0" w:beforeAutospacing="0" w:after="0" w:afterAutospacing="0"/>
        <w:rPr>
          <w:rFonts w:eastAsia="Cambria" w:cs="Cambria"/>
          <w:color w:val="000000" w:themeColor="text1"/>
        </w:rPr>
      </w:pPr>
      <w:r w:rsidRPr="00F9134B">
        <w:rPr>
          <w:rFonts w:eastAsia="Cambria" w:cs="Cambria"/>
          <w:color w:val="000000" w:themeColor="text1"/>
        </w:rPr>
        <w:t xml:space="preserve">The EU does not yet have a system for an accurate tracking of the total funding in support of gender equality provided through external funding instruments. The use of the standardised OECD/DAC gender marker can lead to a misrepresentation of actual resources allocated for gender equality since, in GM1 actions, where gender equality is a significant but not principal objective of the action, only a percentage of the funds actually contribute to gender equality. Yet, the total amount of the Action is calculated as contributing to gender equality. Therefore, as per GAP III indicator 1.3, the EU can only arrive at the rough estimate that the total amount of funding for GM1 will contribute to gender equality. Also, despite requirements in GAP III, the EU does not have a system to track the amount of funding contributing to gender equality allocated to women’s organisations and movements in partner countries. </w:t>
      </w:r>
    </w:p>
    <w:p w14:paraId="19A42187" w14:textId="77777777" w:rsidR="000A52A0" w:rsidRPr="00F9134B" w:rsidRDefault="000A52A0" w:rsidP="00F9134B">
      <w:pPr>
        <w:spacing w:before="0" w:beforeAutospacing="0" w:after="0" w:afterAutospacing="0"/>
      </w:pPr>
    </w:p>
    <w:p w14:paraId="48A6E766"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outlineLvl w:val="1"/>
        <w:rPr>
          <w:rFonts w:cs="Arial"/>
          <w:b/>
          <w:caps/>
          <w:spacing w:val="15"/>
        </w:rPr>
      </w:pPr>
      <w:r w:rsidRPr="00F9134B">
        <w:rPr>
          <w:rFonts w:cs="Arial"/>
          <w:b/>
          <w:caps/>
          <w:spacing w:val="15"/>
        </w:rPr>
        <w:t>Criterion E. The EU leads by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5"/>
        <w:gridCol w:w="1975"/>
      </w:tblGrid>
      <w:tr w:rsidR="0011558A" w:rsidRPr="00F9134B" w14:paraId="4EA9820C" w14:textId="77777777" w:rsidTr="00FC512B">
        <w:tc>
          <w:tcPr>
            <w:tcW w:w="7375" w:type="dxa"/>
            <w:tcBorders>
              <w:top w:val="single" w:sz="4" w:space="0" w:color="auto"/>
              <w:left w:val="single" w:sz="4" w:space="0" w:color="auto"/>
              <w:bottom w:val="single" w:sz="4" w:space="0" w:color="auto"/>
              <w:right w:val="single" w:sz="4" w:space="0" w:color="auto"/>
            </w:tcBorders>
            <w:hideMark/>
          </w:tcPr>
          <w:p w14:paraId="4608061A" w14:textId="23BEC914" w:rsidR="0011558A" w:rsidRPr="00F9134B" w:rsidRDefault="0011558A" w:rsidP="00F9134B">
            <w:pPr>
              <w:pStyle w:val="ListParagraph"/>
              <w:numPr>
                <w:ilvl w:val="0"/>
                <w:numId w:val="3"/>
              </w:numPr>
              <w:spacing w:before="0" w:beforeAutospacing="0" w:afterAutospacing="0"/>
              <w:rPr>
                <w:rFonts w:ascii="Cambria" w:hAnsi="Cambria"/>
              </w:rPr>
            </w:pPr>
            <w:r w:rsidRPr="00F9134B">
              <w:rPr>
                <w:rFonts w:ascii="Cambria" w:hAnsi="Cambria"/>
              </w:rPr>
              <w:lastRenderedPageBreak/>
              <w:t>Number and % of women in senior and middle management positions in the EU Delegation/Office (indicator 10.1 GAP III)</w:t>
            </w:r>
          </w:p>
        </w:tc>
        <w:tc>
          <w:tcPr>
            <w:tcW w:w="1975" w:type="dxa"/>
            <w:tcBorders>
              <w:top w:val="single" w:sz="4" w:space="0" w:color="auto"/>
              <w:left w:val="single" w:sz="4" w:space="0" w:color="auto"/>
              <w:bottom w:val="single" w:sz="4" w:space="0" w:color="auto"/>
              <w:right w:val="single" w:sz="4" w:space="0" w:color="auto"/>
            </w:tcBorders>
          </w:tcPr>
          <w:p w14:paraId="3CDEE950" w14:textId="6565ABAA" w:rsidR="0011558A" w:rsidRPr="00F9134B" w:rsidRDefault="1FF48150" w:rsidP="00F9134B">
            <w:pPr>
              <w:spacing w:before="0" w:beforeAutospacing="0" w:after="0" w:afterAutospacing="0"/>
            </w:pPr>
            <w:r w:rsidRPr="00F9134B">
              <w:t xml:space="preserve">It cannot be concluded </w:t>
            </w:r>
          </w:p>
        </w:tc>
      </w:tr>
      <w:tr w:rsidR="0011558A" w:rsidRPr="00F9134B" w14:paraId="4A1FCFBD" w14:textId="77777777" w:rsidTr="00FC512B">
        <w:tc>
          <w:tcPr>
            <w:tcW w:w="7375" w:type="dxa"/>
            <w:tcBorders>
              <w:top w:val="single" w:sz="4" w:space="0" w:color="auto"/>
              <w:left w:val="single" w:sz="4" w:space="0" w:color="auto"/>
              <w:bottom w:val="single" w:sz="4" w:space="0" w:color="auto"/>
              <w:right w:val="single" w:sz="4" w:space="0" w:color="auto"/>
            </w:tcBorders>
            <w:hideMark/>
          </w:tcPr>
          <w:p w14:paraId="57EED3FC" w14:textId="5F0CD16A" w:rsidR="0011558A" w:rsidRPr="00F9134B" w:rsidRDefault="0011558A" w:rsidP="00F9134B">
            <w:pPr>
              <w:numPr>
                <w:ilvl w:val="0"/>
                <w:numId w:val="3"/>
              </w:numPr>
              <w:spacing w:before="0" w:beforeAutospacing="0" w:after="0" w:afterAutospacing="0"/>
            </w:pPr>
            <w:bookmarkStart w:id="3" w:name="_Hlk107747741"/>
            <w:r w:rsidRPr="00F9134B">
              <w:t>% of management trained on gender equality and GAP III in EU Delegation and CSDP mission (indicator 10.2)</w:t>
            </w:r>
            <w:bookmarkEnd w:id="3"/>
          </w:p>
        </w:tc>
        <w:tc>
          <w:tcPr>
            <w:tcW w:w="1975" w:type="dxa"/>
            <w:tcBorders>
              <w:top w:val="single" w:sz="4" w:space="0" w:color="auto"/>
              <w:left w:val="single" w:sz="4" w:space="0" w:color="auto"/>
              <w:bottom w:val="single" w:sz="4" w:space="0" w:color="auto"/>
              <w:right w:val="single" w:sz="4" w:space="0" w:color="auto"/>
            </w:tcBorders>
          </w:tcPr>
          <w:p w14:paraId="00474B49" w14:textId="412AFB83" w:rsidR="0011558A" w:rsidRPr="00F9134B" w:rsidRDefault="1FF48150" w:rsidP="00F9134B">
            <w:pPr>
              <w:spacing w:before="0" w:beforeAutospacing="0" w:after="0" w:afterAutospacing="0"/>
            </w:pPr>
            <w:r w:rsidRPr="00F9134B">
              <w:t xml:space="preserve">It cannot be concluded </w:t>
            </w:r>
          </w:p>
        </w:tc>
      </w:tr>
      <w:tr w:rsidR="0011558A" w:rsidRPr="00F9134B" w14:paraId="70DC45A3" w14:textId="77777777" w:rsidTr="00FC512B">
        <w:tc>
          <w:tcPr>
            <w:tcW w:w="7375" w:type="dxa"/>
            <w:tcBorders>
              <w:top w:val="single" w:sz="4" w:space="0" w:color="auto"/>
              <w:left w:val="single" w:sz="4" w:space="0" w:color="auto"/>
              <w:bottom w:val="single" w:sz="4" w:space="0" w:color="auto"/>
              <w:right w:val="single" w:sz="4" w:space="0" w:color="auto"/>
            </w:tcBorders>
            <w:hideMark/>
          </w:tcPr>
          <w:p w14:paraId="4171638C" w14:textId="77777777" w:rsidR="0011558A" w:rsidRPr="00F9134B" w:rsidRDefault="0011558A" w:rsidP="00F9134B">
            <w:pPr>
              <w:numPr>
                <w:ilvl w:val="0"/>
                <w:numId w:val="3"/>
              </w:numPr>
              <w:spacing w:before="0" w:beforeAutospacing="0" w:after="0" w:afterAutospacing="0"/>
            </w:pPr>
            <w:r w:rsidRPr="00F9134B">
              <w:t>% of management trained on women, peace and security in EU Delegation and CSDP mission (indicator 10.2)</w:t>
            </w:r>
          </w:p>
        </w:tc>
        <w:tc>
          <w:tcPr>
            <w:tcW w:w="1975" w:type="dxa"/>
            <w:tcBorders>
              <w:top w:val="single" w:sz="4" w:space="0" w:color="auto"/>
              <w:left w:val="single" w:sz="4" w:space="0" w:color="auto"/>
              <w:bottom w:val="single" w:sz="4" w:space="0" w:color="auto"/>
              <w:right w:val="single" w:sz="4" w:space="0" w:color="auto"/>
            </w:tcBorders>
          </w:tcPr>
          <w:p w14:paraId="3604CA93" w14:textId="67D87558" w:rsidR="0011558A" w:rsidRPr="00F9134B" w:rsidRDefault="1FF48150" w:rsidP="00F9134B">
            <w:pPr>
              <w:spacing w:before="0" w:beforeAutospacing="0" w:after="0" w:afterAutospacing="0"/>
            </w:pPr>
            <w:r w:rsidRPr="00F9134B">
              <w:t>N/A</w:t>
            </w:r>
          </w:p>
        </w:tc>
      </w:tr>
      <w:tr w:rsidR="0011558A" w:rsidRPr="00F9134B" w14:paraId="5CACC20A" w14:textId="77777777" w:rsidTr="00FC512B">
        <w:tc>
          <w:tcPr>
            <w:tcW w:w="7375" w:type="dxa"/>
            <w:tcBorders>
              <w:top w:val="single" w:sz="4" w:space="0" w:color="auto"/>
              <w:left w:val="single" w:sz="4" w:space="0" w:color="auto"/>
              <w:bottom w:val="single" w:sz="4" w:space="0" w:color="auto"/>
              <w:right w:val="single" w:sz="4" w:space="0" w:color="auto"/>
            </w:tcBorders>
            <w:hideMark/>
          </w:tcPr>
          <w:p w14:paraId="4D686F0E" w14:textId="77777777" w:rsidR="0011558A" w:rsidRPr="00F9134B" w:rsidRDefault="0011558A" w:rsidP="00F9134B">
            <w:pPr>
              <w:numPr>
                <w:ilvl w:val="0"/>
                <w:numId w:val="3"/>
              </w:numPr>
              <w:spacing w:before="0" w:beforeAutospacing="0" w:after="0" w:afterAutospacing="0"/>
            </w:pPr>
            <w:r w:rsidRPr="00F9134B">
              <w:t xml:space="preserve">Number of Gender Adviser / Gender Focal Points in the EU Delegation and CSDP mission </w:t>
            </w:r>
          </w:p>
        </w:tc>
        <w:tc>
          <w:tcPr>
            <w:tcW w:w="1975" w:type="dxa"/>
            <w:tcBorders>
              <w:top w:val="single" w:sz="4" w:space="0" w:color="auto"/>
              <w:left w:val="single" w:sz="4" w:space="0" w:color="auto"/>
              <w:bottom w:val="single" w:sz="4" w:space="0" w:color="auto"/>
              <w:right w:val="single" w:sz="4" w:space="0" w:color="auto"/>
            </w:tcBorders>
            <w:hideMark/>
          </w:tcPr>
          <w:p w14:paraId="3A795B35" w14:textId="0923B854" w:rsidR="0011558A" w:rsidRPr="00F9134B" w:rsidRDefault="1FF48150" w:rsidP="00F9134B">
            <w:pPr>
              <w:spacing w:before="0" w:beforeAutospacing="0" w:after="0" w:afterAutospacing="0"/>
            </w:pPr>
            <w:r w:rsidRPr="00F9134B">
              <w:t>1</w:t>
            </w:r>
          </w:p>
        </w:tc>
      </w:tr>
    </w:tbl>
    <w:p w14:paraId="6A9CE5E7" w14:textId="77777777" w:rsidR="003C587E" w:rsidRPr="00F9134B" w:rsidRDefault="003C587E" w:rsidP="00F9134B">
      <w:pPr>
        <w:spacing w:before="0" w:beforeAutospacing="0" w:after="0" w:afterAutospacing="0"/>
        <w:rPr>
          <w:highlight w:val="yellow"/>
        </w:rPr>
      </w:pPr>
    </w:p>
    <w:p w14:paraId="202CBAD1" w14:textId="77777777" w:rsidR="007441E1" w:rsidRPr="00F9134B" w:rsidRDefault="007441E1" w:rsidP="00F9134B">
      <w:pPr>
        <w:spacing w:before="0" w:beforeAutospacing="0" w:after="0" w:afterAutospacing="0"/>
      </w:pPr>
      <w:bookmarkStart w:id="4" w:name="_Hlk107747727"/>
      <w:r w:rsidRPr="00F9134B">
        <w:t>In relation to the number of Gender Focal Points in the EUD, such a position exists since 2015, held by an officia</w:t>
      </w:r>
      <w:r w:rsidR="00215C2B" w:rsidRPr="00F9134B">
        <w:t>l.</w:t>
      </w:r>
      <w:r w:rsidRPr="00F9134B">
        <w:t xml:space="preserve"> Interview responses indicated that there is a consideration among some EU officials and WCSOs that more effort should be invested to have a full time assigned GFP within EUD providing more space for a committed work on gender equality especially having in mind GAP III implementation and requirements. </w:t>
      </w:r>
    </w:p>
    <w:bookmarkEnd w:id="4"/>
    <w:p w14:paraId="6F07ACFA" w14:textId="77777777" w:rsidR="003C587E" w:rsidRPr="00F9134B" w:rsidRDefault="003C587E" w:rsidP="00F9134B">
      <w:pPr>
        <w:spacing w:before="0" w:beforeAutospacing="0" w:after="0" w:afterAutospacing="0"/>
        <w:rPr>
          <w:rFonts w:cs="Arial"/>
        </w:rPr>
      </w:pPr>
    </w:p>
    <w:p w14:paraId="1483F6D9"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outlineLvl w:val="1"/>
        <w:rPr>
          <w:rFonts w:cs="Arial"/>
          <w:b/>
          <w:caps/>
          <w:spacing w:val="15"/>
        </w:rPr>
      </w:pPr>
      <w:r w:rsidRPr="00F9134B">
        <w:rPr>
          <w:rFonts w:cs="Arial"/>
          <w:b/>
          <w:caps/>
          <w:spacing w:val="15"/>
        </w:rPr>
        <w:t>Criterion F. Government adopts legislation in line with the EU Acquis Communautaire on gender equality and consults women’s organisations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4"/>
        <w:gridCol w:w="1662"/>
      </w:tblGrid>
      <w:tr w:rsidR="0011558A" w:rsidRPr="00F9134B" w14:paraId="6D5078D6" w14:textId="77777777" w:rsidTr="00FC512B">
        <w:tc>
          <w:tcPr>
            <w:tcW w:w="7914" w:type="dxa"/>
            <w:tcBorders>
              <w:top w:val="single" w:sz="4" w:space="0" w:color="auto"/>
              <w:left w:val="single" w:sz="4" w:space="0" w:color="auto"/>
              <w:bottom w:val="single" w:sz="4" w:space="0" w:color="auto"/>
              <w:right w:val="single" w:sz="4" w:space="0" w:color="auto"/>
            </w:tcBorders>
            <w:shd w:val="clear" w:color="auto" w:fill="auto"/>
            <w:hideMark/>
          </w:tcPr>
          <w:p w14:paraId="25A19868" w14:textId="2ADE2C3C" w:rsidR="0011558A" w:rsidRPr="00F9134B" w:rsidRDefault="0011558A" w:rsidP="00F9134B">
            <w:pPr>
              <w:pStyle w:val="ListParagraph"/>
              <w:numPr>
                <w:ilvl w:val="0"/>
                <w:numId w:val="3"/>
              </w:numPr>
              <w:spacing w:before="0" w:beforeAutospacing="0" w:afterAutospacing="0"/>
              <w:jc w:val="left"/>
              <w:rPr>
                <w:rFonts w:ascii="Cambria" w:hAnsi="Cambria"/>
              </w:rPr>
            </w:pPr>
            <w:r w:rsidRPr="00F9134B">
              <w:rPr>
                <w:rFonts w:ascii="Cambria" w:hAnsi="Cambria"/>
              </w:rPr>
              <w:t xml:space="preserve">Extent to which gender equality is addressed in the National Programme for the Adoption of the Acquis (NPAA)  </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14:paraId="4360A2C0" w14:textId="6277B58D" w:rsidR="0011558A" w:rsidRPr="00F9134B" w:rsidRDefault="00FC512B" w:rsidP="00F9134B">
            <w:pPr>
              <w:spacing w:before="0" w:beforeAutospacing="0" w:after="0" w:afterAutospacing="0"/>
              <w:jc w:val="left"/>
            </w:pPr>
            <w:r w:rsidRPr="00F9134B">
              <w:t>Extensively</w:t>
            </w:r>
          </w:p>
        </w:tc>
      </w:tr>
      <w:tr w:rsidR="0011558A" w:rsidRPr="00F9134B" w14:paraId="02377187" w14:textId="77777777" w:rsidTr="00FC512B">
        <w:tc>
          <w:tcPr>
            <w:tcW w:w="7914" w:type="dxa"/>
            <w:tcBorders>
              <w:top w:val="single" w:sz="4" w:space="0" w:color="auto"/>
              <w:left w:val="single" w:sz="4" w:space="0" w:color="auto"/>
              <w:bottom w:val="single" w:sz="4" w:space="0" w:color="auto"/>
              <w:right w:val="single" w:sz="4" w:space="0" w:color="auto"/>
            </w:tcBorders>
            <w:shd w:val="clear" w:color="auto" w:fill="auto"/>
            <w:hideMark/>
          </w:tcPr>
          <w:p w14:paraId="4338A8D2" w14:textId="77777777" w:rsidR="0011558A" w:rsidRPr="00F9134B" w:rsidRDefault="0011558A" w:rsidP="00F9134B">
            <w:pPr>
              <w:numPr>
                <w:ilvl w:val="0"/>
                <w:numId w:val="3"/>
              </w:numPr>
              <w:spacing w:before="0" w:beforeAutospacing="0" w:after="0" w:afterAutospacing="0"/>
              <w:ind w:left="360" w:firstLine="0"/>
              <w:jc w:val="left"/>
            </w:pPr>
            <w:r w:rsidRPr="00F9134B">
              <w:t xml:space="preserve">Extent to which key laws on gender equality and EU Accession are open for public consultation </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14:paraId="6FB15C86" w14:textId="77777777" w:rsidR="0011558A" w:rsidRPr="00F9134B" w:rsidRDefault="00A02091" w:rsidP="00F9134B">
            <w:pPr>
              <w:spacing w:before="0" w:beforeAutospacing="0" w:after="0" w:afterAutospacing="0"/>
              <w:jc w:val="left"/>
            </w:pPr>
            <w:r w:rsidRPr="00F9134B">
              <w:t>Fully</w:t>
            </w:r>
          </w:p>
        </w:tc>
      </w:tr>
      <w:tr w:rsidR="0011558A" w:rsidRPr="00F9134B" w14:paraId="48AA013B" w14:textId="77777777" w:rsidTr="00FC512B">
        <w:tc>
          <w:tcPr>
            <w:tcW w:w="7914" w:type="dxa"/>
            <w:tcBorders>
              <w:top w:val="single" w:sz="4" w:space="0" w:color="auto"/>
              <w:left w:val="single" w:sz="4" w:space="0" w:color="auto"/>
              <w:bottom w:val="single" w:sz="4" w:space="0" w:color="auto"/>
              <w:right w:val="single" w:sz="4" w:space="0" w:color="auto"/>
            </w:tcBorders>
            <w:shd w:val="clear" w:color="auto" w:fill="auto"/>
            <w:hideMark/>
          </w:tcPr>
          <w:p w14:paraId="240AEA70" w14:textId="77777777" w:rsidR="0011558A" w:rsidRPr="00F9134B" w:rsidRDefault="0011558A" w:rsidP="00F9134B">
            <w:pPr>
              <w:numPr>
                <w:ilvl w:val="0"/>
                <w:numId w:val="3"/>
              </w:numPr>
              <w:spacing w:before="0" w:beforeAutospacing="0" w:after="0" w:afterAutospacing="0"/>
              <w:ind w:left="360" w:firstLine="0"/>
              <w:jc w:val="left"/>
            </w:pPr>
            <w:r w:rsidRPr="00F9134B">
              <w:t xml:space="preserve">Extent to which inputs on Laws / amendments / policies by women’s organisations in line with the EU Acquis on gender equality are taken on board </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14:paraId="51D08C7A" w14:textId="77777777" w:rsidR="0011558A" w:rsidRPr="00F9134B" w:rsidRDefault="00A02091" w:rsidP="00F9134B">
            <w:pPr>
              <w:spacing w:before="0" w:beforeAutospacing="0" w:after="0" w:afterAutospacing="0"/>
              <w:jc w:val="left"/>
            </w:pPr>
            <w:r w:rsidRPr="00F9134B">
              <w:t>Extensively</w:t>
            </w:r>
          </w:p>
        </w:tc>
      </w:tr>
      <w:tr w:rsidR="0011558A" w:rsidRPr="00F9134B" w14:paraId="7F1312B6" w14:textId="77777777" w:rsidTr="00FC512B">
        <w:tc>
          <w:tcPr>
            <w:tcW w:w="7914" w:type="dxa"/>
            <w:tcBorders>
              <w:top w:val="single" w:sz="4" w:space="0" w:color="auto"/>
              <w:left w:val="single" w:sz="4" w:space="0" w:color="auto"/>
              <w:bottom w:val="single" w:sz="4" w:space="0" w:color="auto"/>
              <w:right w:val="single" w:sz="4" w:space="0" w:color="auto"/>
            </w:tcBorders>
            <w:shd w:val="clear" w:color="auto" w:fill="auto"/>
            <w:hideMark/>
          </w:tcPr>
          <w:p w14:paraId="3CFE1744" w14:textId="77777777" w:rsidR="0011558A" w:rsidRPr="00F9134B" w:rsidRDefault="0011558A" w:rsidP="00F9134B">
            <w:pPr>
              <w:numPr>
                <w:ilvl w:val="0"/>
                <w:numId w:val="3"/>
              </w:numPr>
              <w:spacing w:before="0" w:beforeAutospacing="0" w:after="0" w:afterAutospacing="0"/>
              <w:ind w:left="360" w:firstLine="0"/>
              <w:jc w:val="left"/>
            </w:pPr>
            <w:r w:rsidRPr="00F9134B">
              <w:t>Extent to which new sectoral strategies are publicly available</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14:paraId="7ACF5594" w14:textId="77777777" w:rsidR="0011558A" w:rsidRPr="00F9134B" w:rsidRDefault="00A02091" w:rsidP="00F9134B">
            <w:pPr>
              <w:spacing w:before="0" w:beforeAutospacing="0" w:after="0" w:afterAutospacing="0"/>
              <w:jc w:val="left"/>
            </w:pPr>
            <w:r w:rsidRPr="00F9134B">
              <w:t>Extensively</w:t>
            </w:r>
          </w:p>
        </w:tc>
      </w:tr>
      <w:tr w:rsidR="0011558A" w:rsidRPr="00F9134B" w14:paraId="3ED73A58" w14:textId="77777777" w:rsidTr="00FC512B">
        <w:tc>
          <w:tcPr>
            <w:tcW w:w="7914" w:type="dxa"/>
            <w:tcBorders>
              <w:top w:val="single" w:sz="4" w:space="0" w:color="auto"/>
              <w:left w:val="single" w:sz="4" w:space="0" w:color="auto"/>
              <w:bottom w:val="single" w:sz="4" w:space="0" w:color="auto"/>
              <w:right w:val="single" w:sz="4" w:space="0" w:color="auto"/>
            </w:tcBorders>
            <w:shd w:val="clear" w:color="auto" w:fill="auto"/>
            <w:hideMark/>
          </w:tcPr>
          <w:p w14:paraId="19C1CB60" w14:textId="77777777" w:rsidR="0011558A" w:rsidRPr="00F9134B" w:rsidRDefault="0011558A" w:rsidP="00F9134B">
            <w:pPr>
              <w:numPr>
                <w:ilvl w:val="0"/>
                <w:numId w:val="3"/>
              </w:numPr>
              <w:spacing w:before="0" w:beforeAutospacing="0" w:after="0" w:afterAutospacing="0"/>
              <w:ind w:left="360" w:firstLine="0"/>
              <w:jc w:val="left"/>
            </w:pPr>
            <w:r w:rsidRPr="00F9134B">
              <w:t>Extent to which new sectoral strategies mainstream gender equality</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14:paraId="3AA3F412" w14:textId="77777777" w:rsidR="0011558A" w:rsidRPr="00F9134B" w:rsidRDefault="00A02091" w:rsidP="00F9134B">
            <w:pPr>
              <w:spacing w:before="0" w:beforeAutospacing="0" w:after="0" w:afterAutospacing="0"/>
              <w:jc w:val="left"/>
            </w:pPr>
            <w:r w:rsidRPr="00F9134B">
              <w:t>Minimally</w:t>
            </w:r>
          </w:p>
        </w:tc>
      </w:tr>
      <w:tr w:rsidR="0011558A" w:rsidRPr="00F9134B" w14:paraId="50C5A076" w14:textId="77777777" w:rsidTr="00FC512B">
        <w:tc>
          <w:tcPr>
            <w:tcW w:w="7914" w:type="dxa"/>
            <w:tcBorders>
              <w:top w:val="single" w:sz="4" w:space="0" w:color="auto"/>
              <w:left w:val="single" w:sz="4" w:space="0" w:color="auto"/>
              <w:bottom w:val="single" w:sz="4" w:space="0" w:color="auto"/>
              <w:right w:val="single" w:sz="4" w:space="0" w:color="auto"/>
            </w:tcBorders>
            <w:shd w:val="clear" w:color="auto" w:fill="auto"/>
            <w:hideMark/>
          </w:tcPr>
          <w:p w14:paraId="61E619B5" w14:textId="77777777" w:rsidR="0011558A" w:rsidRPr="00F9134B" w:rsidRDefault="0011558A" w:rsidP="00F9134B">
            <w:pPr>
              <w:numPr>
                <w:ilvl w:val="0"/>
                <w:numId w:val="3"/>
              </w:numPr>
              <w:spacing w:before="0" w:beforeAutospacing="0" w:after="0" w:afterAutospacing="0"/>
              <w:ind w:left="360" w:firstLine="0"/>
              <w:jc w:val="left"/>
            </w:pPr>
            <w:r w:rsidRPr="00F9134B">
              <w:t>% of sector working groups (or the like) with women’s rights organisations included/represented</w:t>
            </w:r>
          </w:p>
        </w:tc>
        <w:tc>
          <w:tcPr>
            <w:tcW w:w="1662" w:type="dxa"/>
            <w:tcBorders>
              <w:top w:val="single" w:sz="4" w:space="0" w:color="auto"/>
              <w:left w:val="single" w:sz="4" w:space="0" w:color="auto"/>
              <w:bottom w:val="single" w:sz="4" w:space="0" w:color="auto"/>
              <w:right w:val="single" w:sz="4" w:space="0" w:color="auto"/>
            </w:tcBorders>
            <w:shd w:val="clear" w:color="auto" w:fill="auto"/>
            <w:hideMark/>
          </w:tcPr>
          <w:p w14:paraId="5375297E" w14:textId="77777777" w:rsidR="0011558A" w:rsidRPr="00F9134B" w:rsidRDefault="0011558A" w:rsidP="00F9134B">
            <w:pPr>
              <w:spacing w:before="0" w:beforeAutospacing="0" w:after="0" w:afterAutospacing="0"/>
              <w:jc w:val="left"/>
            </w:pPr>
            <w:r w:rsidRPr="00F9134B">
              <w:t>Cannot be concluded</w:t>
            </w:r>
          </w:p>
        </w:tc>
      </w:tr>
    </w:tbl>
    <w:p w14:paraId="48A9B8F7" w14:textId="77777777" w:rsidR="00FF3717" w:rsidRPr="00F9134B" w:rsidRDefault="00FF3717" w:rsidP="00F9134B">
      <w:pPr>
        <w:spacing w:before="0" w:beforeAutospacing="0" w:after="0" w:afterAutospacing="0"/>
        <w:rPr>
          <w:b/>
          <w:bCs/>
        </w:rPr>
      </w:pPr>
    </w:p>
    <w:p w14:paraId="3229BD5D" w14:textId="7DC92744" w:rsidR="000F7F72" w:rsidRPr="00F9134B" w:rsidRDefault="000E1FB9" w:rsidP="00F9134B">
      <w:pPr>
        <w:spacing w:before="0" w:beforeAutospacing="0" w:after="0" w:afterAutospacing="0"/>
      </w:pPr>
      <w:r w:rsidRPr="00F9134B">
        <w:t>In Albania the National Programme for the Adoption of the Acquis (NPAA) is called t</w:t>
      </w:r>
      <w:r w:rsidR="0011558A" w:rsidRPr="00F9134B">
        <w:t>he National Plan for EU Integration</w:t>
      </w:r>
      <w:r w:rsidR="00FF3717" w:rsidRPr="00F9134B">
        <w:t xml:space="preserve"> (NPEI)</w:t>
      </w:r>
      <w:r w:rsidR="0011558A" w:rsidRPr="00F9134B">
        <w:t> 2019-2021</w:t>
      </w:r>
      <w:r w:rsidRPr="00F9134B">
        <w:t xml:space="preserve">. NPEI 2019 -2021 </w:t>
      </w:r>
      <w:r w:rsidR="0011558A" w:rsidRPr="00F9134B">
        <w:t xml:space="preserve">includes medium and long-term measures extending until 2021 in order for Albania to achieve full legal approximation of the national legislation with the EU acquis and to harmonize all sectors with EU standards set out in the chapters of the acquis. The NPEI is reviewed annually and assesses the progress achieved, not only in the degree of approximation but also in the implementation of the legislation. The NPEI intends to coordinate this approximation process by setting priorities </w:t>
      </w:r>
      <w:r w:rsidR="000F7F72" w:rsidRPr="00F9134B">
        <w:t xml:space="preserve">and aligning the acts to be approximated with the responsible ministries in charge of drafting/revising the concerned legislation. </w:t>
      </w:r>
    </w:p>
    <w:p w14:paraId="28F45071" w14:textId="3FBED8E4" w:rsidR="00377E33" w:rsidRPr="00F9134B" w:rsidRDefault="00377E33" w:rsidP="00F9134B">
      <w:pPr>
        <w:spacing w:before="0" w:beforeAutospacing="0" w:after="0" w:afterAutospacing="0"/>
      </w:pPr>
    </w:p>
    <w:p w14:paraId="0EE92BE5" w14:textId="6636F700" w:rsidR="00377E33" w:rsidRPr="00F9134B" w:rsidRDefault="00377E33" w:rsidP="00F9134B">
      <w:pPr>
        <w:spacing w:before="0" w:beforeAutospacing="0" w:after="0" w:afterAutospacing="0"/>
      </w:pPr>
      <w:r w:rsidRPr="00F9134B">
        <w:t xml:space="preserve">The National Plan for 2019-2021 contains some sex-disaggregated data, such as in the area of employment, and judicial data. There is a dedicated chapter to equality between women and men in the area of employment and social policies, however other chapters are not consistently gender mainstreamed. One objective of the strategy on agriculture and rural development mentions training women and youth. The plan further refers to the National Strategy on Gender Equality and the alignment of the gender equality infrastructure with EU requirements. Therefore, it can be concluded that </w:t>
      </w:r>
      <w:r w:rsidR="00A161E4" w:rsidRPr="00F9134B">
        <w:t xml:space="preserve">gender equality is extensively addressed in the Plan. </w:t>
      </w:r>
    </w:p>
    <w:p w14:paraId="59ABEA52" w14:textId="77777777" w:rsidR="00DA4E8A" w:rsidRPr="00F9134B" w:rsidRDefault="00DA4E8A" w:rsidP="00F9134B">
      <w:pPr>
        <w:spacing w:before="0" w:beforeAutospacing="0" w:after="0" w:afterAutospacing="0"/>
      </w:pPr>
    </w:p>
    <w:p w14:paraId="09709ACA" w14:textId="4D26DC2C" w:rsidR="004F6153" w:rsidRPr="00F9134B" w:rsidRDefault="000F7F72" w:rsidP="00F9134B">
      <w:pPr>
        <w:spacing w:before="0" w:beforeAutospacing="0" w:after="0" w:afterAutospacing="0"/>
      </w:pPr>
      <w:r w:rsidRPr="00F9134B">
        <w:t xml:space="preserve">Regarding the extent to which laws on gender equality and EU accession are open to public consultation, Albania has made significant improvements in its legislative framework for public </w:t>
      </w:r>
      <w:r w:rsidRPr="00F9134B">
        <w:lastRenderedPageBreak/>
        <w:t xml:space="preserve">consultation, information, and transparency. Draft laws are published </w:t>
      </w:r>
      <w:r w:rsidR="004F6153" w:rsidRPr="00F9134B">
        <w:t xml:space="preserve">online </w:t>
      </w:r>
      <w:r w:rsidRPr="00F9134B">
        <w:t>and require public consultation before</w:t>
      </w:r>
      <w:r w:rsidR="004F6153" w:rsidRPr="00F9134B">
        <w:t xml:space="preserve"> approval by the parliament. </w:t>
      </w:r>
      <w:r w:rsidRPr="00F9134B">
        <w:t xml:space="preserve"> </w:t>
      </w:r>
      <w:r w:rsidR="004F6153" w:rsidRPr="00F9134B">
        <w:t xml:space="preserve">Laws, Strategies and policies </w:t>
      </w:r>
      <w:r w:rsidRPr="00F9134B">
        <w:t>are usually documented in relevant websites of ministries or in parliament</w:t>
      </w:r>
      <w:r w:rsidR="004F6153" w:rsidRPr="00F9134B">
        <w:t xml:space="preserve"> or in the parliament website and the website of the Official Gazette, which contains all published legislation and other legal documents</w:t>
      </w:r>
      <w:r w:rsidRPr="00F9134B">
        <w:t>. Each ministry and the Parliament have established a coordinator for public information and transparency w</w:t>
      </w:r>
      <w:r w:rsidR="004F6153" w:rsidRPr="00F9134B">
        <w:t>ho</w:t>
      </w:r>
      <w:r w:rsidR="00DA4E8A" w:rsidRPr="00F9134B">
        <w:t xml:space="preserve"> </w:t>
      </w:r>
      <w:r w:rsidRPr="00F9134B">
        <w:t xml:space="preserve">is in charge of responding to public requests, publishing relevant documentation on consultation and other materials. Women’s civil society organizations are especially active in public consultation processes for legislation on gender equality, they have made significant contributions which were reflected in the final approved laws and continue to advocate for improvements frequently. </w:t>
      </w:r>
      <w:r w:rsidR="004F6153" w:rsidRPr="00F9134B">
        <w:t xml:space="preserve">The contribution of Women CSOs is more significative in the revision of the law on domestic violence, the law on social housing and the Decision of the Council of Ministers on the functioning of the referral mechanism for cases of domestic violence. </w:t>
      </w:r>
    </w:p>
    <w:p w14:paraId="66D97593" w14:textId="77777777" w:rsidR="00DA4E8A" w:rsidRPr="00F9134B" w:rsidRDefault="00DA4E8A" w:rsidP="00F9134B">
      <w:pPr>
        <w:spacing w:before="0" w:beforeAutospacing="0" w:after="0" w:afterAutospacing="0"/>
      </w:pPr>
    </w:p>
    <w:p w14:paraId="3D2E6C8A" w14:textId="3F807054" w:rsidR="000F7F72" w:rsidRPr="00F9134B" w:rsidRDefault="000F7F72" w:rsidP="00F9134B">
      <w:pPr>
        <w:spacing w:before="0" w:beforeAutospacing="0" w:after="0" w:afterAutospacing="0"/>
      </w:pPr>
      <w:r w:rsidRPr="00F9134B">
        <w:t xml:space="preserve">Sectoral strategies are also available on websites of relevant ministries and other governmental bodies or in the parliament’s webpage. The latest strategy on gender equality was published on the website of the Ministry of Health and Social Protection in July 2021 upon its approval. </w:t>
      </w:r>
    </w:p>
    <w:p w14:paraId="3D621DE2" w14:textId="77777777" w:rsidR="00DA4E8A" w:rsidRPr="00F9134B" w:rsidRDefault="00DA4E8A" w:rsidP="00F9134B">
      <w:pPr>
        <w:spacing w:before="0" w:beforeAutospacing="0" w:after="0" w:afterAutospacing="0"/>
      </w:pPr>
    </w:p>
    <w:p w14:paraId="7E5BBE7B" w14:textId="778AB703" w:rsidR="003C587E" w:rsidRPr="00F9134B" w:rsidRDefault="000F7F72" w:rsidP="00F9134B">
      <w:pPr>
        <w:spacing w:before="0" w:beforeAutospacing="0" w:after="0" w:afterAutospacing="0"/>
      </w:pPr>
      <w:r w:rsidRPr="00F9134B">
        <w:t xml:space="preserve">In relation to gender mainstreaming of other sectoral strategies there are some strategies that do include gender throughout the text, however in most of them it cannot be considered fully gender mainstreamed. For instance, </w:t>
      </w:r>
      <w:r w:rsidR="00567CB3" w:rsidRPr="00F9134B">
        <w:t xml:space="preserve">in the 2021 the three following strategies were approved: </w:t>
      </w:r>
      <w:r w:rsidRPr="00F9134B">
        <w:t>the strateg</w:t>
      </w:r>
      <w:r w:rsidR="00567CB3" w:rsidRPr="00F9134B">
        <w:t>y</w:t>
      </w:r>
      <w:r w:rsidRPr="00F9134B">
        <w:t xml:space="preserve"> on persons with disabilities, Roma and Egyptian communities and LGBT community</w:t>
      </w:r>
      <w:r w:rsidR="00567CB3" w:rsidRPr="00F9134B">
        <w:t>. W</w:t>
      </w:r>
      <w:r w:rsidRPr="00F9134B">
        <w:t xml:space="preserve">hile gender is mentioned sporadically there are no targeted actions to respond to the different needs of men and women from these groups. </w:t>
      </w:r>
      <w:r w:rsidR="00567CB3" w:rsidRPr="00F9134B">
        <w:t xml:space="preserve">Therefore, they were minimally mainstreamed. </w:t>
      </w:r>
      <w:r w:rsidRPr="00F9134B">
        <w:t>The strategy on business development and investment had an annex specifically dedicated to women entrepreneurship. Further, the National Strategy on Employment and Skills mentions gender but does not mainstream it throughout its actions and goals. Finally, the</w:t>
      </w:r>
      <w:r w:rsidR="00F56AF8" w:rsidRPr="00F9134B">
        <w:t xml:space="preserve"> </w:t>
      </w:r>
      <w:r w:rsidR="0011558A" w:rsidRPr="00F9134B">
        <w:t>National Strategy for Development and Integration</w:t>
      </w:r>
      <w:r w:rsidR="00F56AF8" w:rsidRPr="00F9134B">
        <w:t xml:space="preserve"> (NSDI),</w:t>
      </w:r>
      <w:r w:rsidR="005C002B" w:rsidRPr="00F9134B">
        <w:t xml:space="preserve"> which ended in 2021, included gender issues to a certain extent, </w:t>
      </w:r>
      <w:r w:rsidR="0011558A" w:rsidRPr="00F9134B">
        <w:t>however not consistently and coherently among different pillars and strategic priorities</w:t>
      </w:r>
      <w:r w:rsidR="00152EBD" w:rsidRPr="00F9134B">
        <w:t xml:space="preserve">. </w:t>
      </w:r>
    </w:p>
    <w:p w14:paraId="0AE18905" w14:textId="1F9BF171" w:rsidR="001116C4" w:rsidRPr="00F9134B" w:rsidRDefault="001116C4" w:rsidP="00F9134B">
      <w:pPr>
        <w:spacing w:before="0" w:beforeAutospacing="0" w:after="0" w:afterAutospacing="0"/>
      </w:pPr>
      <w:r w:rsidRPr="00F9134B">
        <w:t xml:space="preserve">Regarding the percentage of working groups where women’s organizations are represented it is not possible to conclude as there are no rules or strategies in place to ensure a certain level of representation by women’s CSOs. However, women’s groups are well represented in the National Council on Gender Equality, which is the highest coordinating body on gender equality issues at executive level and includes government as well as non-governmental entities. Women’s CSOs are also invited on an ad-hoc basis by different committees and sub-committees in parliament, especially in relation to developments in the policy to combat gender-based violence. There used to be a sub-committee on gender equality until the April 2021 general elections, but with the constitution of the new parliamentary committees, this sub-committee has yet to be established. </w:t>
      </w:r>
    </w:p>
    <w:p w14:paraId="4CC2652A" w14:textId="77777777" w:rsidR="00FC512B" w:rsidRPr="00F9134B" w:rsidRDefault="00FC512B" w:rsidP="00F9134B">
      <w:pPr>
        <w:spacing w:before="0" w:beforeAutospacing="0" w:after="0" w:afterAutospacing="0"/>
      </w:pPr>
    </w:p>
    <w:p w14:paraId="20A7623B"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outlineLvl w:val="1"/>
        <w:rPr>
          <w:rFonts w:cs="Arial"/>
          <w:b/>
          <w:bCs/>
          <w:caps/>
          <w:spacing w:val="15"/>
        </w:rPr>
      </w:pPr>
      <w:r w:rsidRPr="00F9134B">
        <w:rPr>
          <w:rFonts w:cs="Arial"/>
          <w:b/>
          <w:bCs/>
          <w:caps/>
          <w:spacing w:val="15"/>
        </w:rPr>
        <w:t>Criterion G. Government implements recommendations on gender equality included in the Country Report</w:t>
      </w:r>
    </w:p>
    <w:p w14:paraId="50703A7D" w14:textId="77777777" w:rsidR="00A31EFF" w:rsidRPr="00F9134B" w:rsidRDefault="00A31EFF" w:rsidP="00F9134B">
      <w:pPr>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1"/>
        <w:gridCol w:w="1645"/>
      </w:tblGrid>
      <w:tr w:rsidR="008D1B12" w:rsidRPr="00F9134B" w14:paraId="131936A0" w14:textId="77777777" w:rsidTr="1FF48150">
        <w:tc>
          <w:tcPr>
            <w:tcW w:w="7931" w:type="dxa"/>
            <w:shd w:val="clear" w:color="auto" w:fill="auto"/>
          </w:tcPr>
          <w:p w14:paraId="7C80AB11" w14:textId="3BCF5FD7" w:rsidR="00A31EFF" w:rsidRPr="00F9134B" w:rsidRDefault="00A31EFF" w:rsidP="00F9134B">
            <w:pPr>
              <w:pStyle w:val="ListParagraph"/>
              <w:numPr>
                <w:ilvl w:val="0"/>
                <w:numId w:val="3"/>
              </w:numPr>
              <w:spacing w:before="0" w:beforeAutospacing="0" w:afterAutospacing="0"/>
              <w:rPr>
                <w:rFonts w:ascii="Cambria" w:hAnsi="Cambria" w:cs="Arial"/>
              </w:rPr>
            </w:pPr>
            <w:r w:rsidRPr="00F9134B">
              <w:rPr>
                <w:rFonts w:ascii="Cambria" w:hAnsi="Cambria"/>
              </w:rPr>
              <w:t xml:space="preserve">Extent to which </w:t>
            </w:r>
            <w:r w:rsidR="00F56AF8" w:rsidRPr="00F9134B">
              <w:rPr>
                <w:rFonts w:ascii="Cambria" w:hAnsi="Cambria"/>
              </w:rPr>
              <w:t>recommendations on</w:t>
            </w:r>
            <w:r w:rsidRPr="00F9134B">
              <w:rPr>
                <w:rFonts w:ascii="Cambria" w:hAnsi="Cambria"/>
              </w:rPr>
              <w:t xml:space="preserve"> gender equality included in the Country Report have been implemented by the government/institutions</w:t>
            </w:r>
          </w:p>
        </w:tc>
        <w:tc>
          <w:tcPr>
            <w:tcW w:w="1645" w:type="dxa"/>
            <w:shd w:val="clear" w:color="auto" w:fill="auto"/>
          </w:tcPr>
          <w:p w14:paraId="6F2FAD53" w14:textId="77777777" w:rsidR="00A31EFF" w:rsidRPr="00F9134B" w:rsidRDefault="00A02091" w:rsidP="00F9134B">
            <w:pPr>
              <w:spacing w:before="0" w:beforeAutospacing="0" w:after="0" w:afterAutospacing="0"/>
              <w:rPr>
                <w:rFonts w:cs="Arial"/>
              </w:rPr>
            </w:pPr>
            <w:r w:rsidRPr="00F9134B">
              <w:t>Moderately</w:t>
            </w:r>
          </w:p>
        </w:tc>
      </w:tr>
    </w:tbl>
    <w:p w14:paraId="4886D498" w14:textId="03DB2C65" w:rsidR="1FF48150" w:rsidRPr="00F9134B" w:rsidRDefault="1FF48150" w:rsidP="00F9134B">
      <w:pPr>
        <w:spacing w:before="0" w:beforeAutospacing="0" w:after="0" w:afterAutospacing="0"/>
      </w:pPr>
    </w:p>
    <w:p w14:paraId="4034E550" w14:textId="1F8FA2CE" w:rsidR="005F6540" w:rsidRPr="00F9134B" w:rsidRDefault="0011558A" w:rsidP="00F9134B">
      <w:pPr>
        <w:spacing w:before="0" w:beforeAutospacing="0" w:after="0" w:afterAutospacing="0"/>
      </w:pPr>
      <w:r w:rsidRPr="00F9134B">
        <w:t xml:space="preserve">The score refers to the recommendations of the </w:t>
      </w:r>
      <w:r w:rsidR="00C4585D" w:rsidRPr="00F9134B">
        <w:t>202</w:t>
      </w:r>
      <w:r w:rsidR="005F6540" w:rsidRPr="00F9134B">
        <w:t>0</w:t>
      </w:r>
      <w:r w:rsidR="00C4585D" w:rsidRPr="00F9134B">
        <w:t xml:space="preserve"> </w:t>
      </w:r>
      <w:r w:rsidRPr="00F9134B">
        <w:t>EC Country Albania report</w:t>
      </w:r>
      <w:r w:rsidR="005F6540" w:rsidRPr="00F9134B">
        <w:t xml:space="preserve"> and how these have been addressed or not by the time the 2021 Report for Albania was issued.</w:t>
      </w:r>
      <w:r w:rsidR="005F6540" w:rsidRPr="00F9134B">
        <w:rPr>
          <w:rStyle w:val="FootnoteReference"/>
        </w:rPr>
        <w:footnoteReference w:id="29"/>
      </w:r>
      <w:r w:rsidR="00DA4E8A" w:rsidRPr="00F9134B">
        <w:t xml:space="preserve"> </w:t>
      </w:r>
      <w:r w:rsidR="005F6540" w:rsidRPr="00F9134B">
        <w:t xml:space="preserve">The 2020 report makes </w:t>
      </w:r>
      <w:r w:rsidR="005F6540" w:rsidRPr="00F9134B">
        <w:lastRenderedPageBreak/>
        <w:t>an official recommendation to “improve institutional mechanisms for protecting children, protecting victims of domestic violence, promoting the rights of persons with disabilities, guaranteeing gender equality, and providing minimum health and social services, especially at the local level.</w:t>
      </w:r>
      <w:r w:rsidR="004A31CF" w:rsidRPr="00F9134B">
        <w:t xml:space="preserve"> </w:t>
      </w:r>
      <w:r w:rsidR="005F6540" w:rsidRPr="00F9134B">
        <w:t xml:space="preserve"> This recommendation from 2020 does not appear as an official recommendation in the 2021 report </w:t>
      </w:r>
      <w:r w:rsidR="00FC512B" w:rsidRPr="00F9134B">
        <w:t>anymore, suggesting</w:t>
      </w:r>
      <w:r w:rsidR="00397F94" w:rsidRPr="00F9134B">
        <w:t xml:space="preserve"> that recommendations were partially addressed. The government took steps to ensure adequate funding for the implementation of the dedicated strategy of the rights of persons with </w:t>
      </w:r>
      <w:r w:rsidR="00377E33" w:rsidRPr="00F9134B">
        <w:t>disabilities, adopted</w:t>
      </w:r>
      <w:r w:rsidR="00397F94" w:rsidRPr="00F9134B">
        <w:t xml:space="preserve"> a new strategy on gender equality 2021-2030 and the by-laws linked to the Law on Social Housing. </w:t>
      </w:r>
      <w:r w:rsidR="00397F94" w:rsidRPr="00F9134B">
        <w:rPr>
          <w:rStyle w:val="FootnoteReference"/>
          <w:rFonts w:eastAsia="Calibri"/>
          <w:i/>
          <w:iCs/>
        </w:rPr>
        <w:footnoteReference w:id="30"/>
      </w:r>
    </w:p>
    <w:p w14:paraId="646569C3" w14:textId="77777777" w:rsidR="00DA4E8A" w:rsidRPr="00F9134B" w:rsidRDefault="00DA4E8A" w:rsidP="00F9134B">
      <w:pPr>
        <w:spacing w:before="0" w:beforeAutospacing="0" w:after="0" w:afterAutospacing="0"/>
      </w:pPr>
    </w:p>
    <w:p w14:paraId="2A9AFEDC" w14:textId="3DCEA34A" w:rsidR="00397F94" w:rsidRPr="00F9134B" w:rsidRDefault="00397F94" w:rsidP="00F9134B">
      <w:pPr>
        <w:spacing w:before="0" w:beforeAutospacing="0" w:after="0" w:afterAutospacing="0"/>
      </w:pPr>
      <w:r w:rsidRPr="00F9134B">
        <w:t>Furthermore, the 2020 report recommended to “continue to improve access to health and services for disadvantaged populations, including: Roma and Egyptian minorities; people with disabilities; and populations in rural or remote areas. It is of particular importance to improve the access of women and girls belonging to these groups, who are often subjected to multiple forms of discrimination”.</w:t>
      </w:r>
      <w:r w:rsidRPr="00F9134B">
        <w:rPr>
          <w:rStyle w:val="FootnoteReference"/>
        </w:rPr>
        <w:footnoteReference w:id="31"/>
      </w:r>
      <w:r w:rsidRPr="00F9134B">
        <w:t xml:space="preserve"> The same recommendation was made in the 2021 Report for Albania, therefore there is still not full implementation of this recommendation, and more efforts are needed to address them. </w:t>
      </w:r>
    </w:p>
    <w:p w14:paraId="44C39767" w14:textId="77777777" w:rsidR="00DA4E8A" w:rsidRPr="00F9134B" w:rsidRDefault="00DA4E8A" w:rsidP="00F9134B">
      <w:pPr>
        <w:spacing w:before="0" w:beforeAutospacing="0" w:after="0" w:afterAutospacing="0"/>
      </w:pPr>
    </w:p>
    <w:p w14:paraId="26F61497" w14:textId="1E943245" w:rsidR="00397F94" w:rsidRPr="00F9134B" w:rsidRDefault="00397F94" w:rsidP="00F9134B">
      <w:pPr>
        <w:spacing w:before="0" w:beforeAutospacing="0" w:after="0" w:afterAutospacing="0"/>
      </w:pPr>
      <w:r w:rsidRPr="00F9134B">
        <w:t xml:space="preserve">The same expression is used at the EC Progress reports of 2020 and 2021 related to the workers in shoes and textile factories: </w:t>
      </w:r>
      <w:r w:rsidRPr="00F9134B">
        <w:rPr>
          <w:i/>
          <w:iCs/>
        </w:rPr>
        <w:t>“</w:t>
      </w:r>
      <w:r w:rsidRPr="00F9134B">
        <w:t>Concerns remain over the proportion of women in the informal labour market, especially the textile and shoe industries, without appropriate labour and social protection. There are also concerns over the lack of disaggregated data on the number of working women in the informal economy</w:t>
      </w:r>
      <w:r w:rsidRPr="00F9134B">
        <w:rPr>
          <w:i/>
          <w:iCs/>
        </w:rPr>
        <w:t>.”</w:t>
      </w:r>
      <w:r w:rsidRPr="00F9134B">
        <w:rPr>
          <w:rStyle w:val="FootnoteReference"/>
          <w:rFonts w:eastAsia="Calibri"/>
          <w:i/>
          <w:iCs/>
        </w:rPr>
        <w:footnoteReference w:id="32"/>
      </w:r>
      <w:r w:rsidRPr="00F9134B">
        <w:rPr>
          <w:rStyle w:val="FootnoteReference"/>
          <w:rFonts w:eastAsia="Calibri"/>
          <w:i/>
          <w:iCs/>
        </w:rPr>
        <w:footnoteReference w:id="33"/>
      </w:r>
      <w:r w:rsidRPr="00F9134B">
        <w:rPr>
          <w:i/>
          <w:iCs/>
        </w:rPr>
        <w:t xml:space="preserve"> </w:t>
      </w:r>
      <w:r w:rsidRPr="00F9134B">
        <w:t>There have been some efforts from the government to enhance the role of labour inspectors to address this issue. However, much more is needed to fully address the extent of the problem. Therefore, there was some effort to implement the recommendations made in 2020, but the 2021 report still mentions the need to work in this area.</w:t>
      </w:r>
    </w:p>
    <w:p w14:paraId="36595177" w14:textId="77777777" w:rsidR="00DA4E8A" w:rsidRPr="00F9134B" w:rsidRDefault="00DA4E8A" w:rsidP="00F9134B">
      <w:pPr>
        <w:spacing w:before="0" w:beforeAutospacing="0" w:after="0" w:afterAutospacing="0"/>
      </w:pPr>
    </w:p>
    <w:p w14:paraId="16A5A8B0" w14:textId="4C6B99F3" w:rsidR="005F6540" w:rsidRPr="00F9134B" w:rsidRDefault="00C4585D" w:rsidP="00F9134B">
      <w:pPr>
        <w:spacing w:before="0" w:beforeAutospacing="0" w:after="0" w:afterAutospacing="0"/>
      </w:pPr>
      <w:r w:rsidRPr="00F9134B">
        <w:t xml:space="preserve">The </w:t>
      </w:r>
      <w:r w:rsidR="00397F94" w:rsidRPr="00F9134B">
        <w:t xml:space="preserve">2021 </w:t>
      </w:r>
      <w:r w:rsidRPr="00F9134B">
        <w:t>report mentioned that:</w:t>
      </w:r>
      <w:r w:rsidR="0011558A" w:rsidRPr="00F9134B">
        <w:t xml:space="preserve"> </w:t>
      </w:r>
      <w:r w:rsidR="0011558A" w:rsidRPr="00F9134B">
        <w:rPr>
          <w:iCs/>
        </w:rPr>
        <w:t>“The effective implementation of the national strategy and action plan 2016-2020 on gender equality is hampered by a persistent funding gap. More efforts are required to ensure that all sectoral strategies at central and local level are gender mainstreamed and apply gender responsive budgeting.”</w:t>
      </w:r>
      <w:r w:rsidR="0011558A" w:rsidRPr="00F9134B">
        <w:t xml:space="preserve"> </w:t>
      </w:r>
      <w:r w:rsidR="0011558A" w:rsidRPr="00F9134B">
        <w:rPr>
          <w:rStyle w:val="FootnoteReference"/>
          <w:rFonts w:eastAsia="Calibri"/>
        </w:rPr>
        <w:footnoteReference w:id="34"/>
      </w:r>
      <w:r w:rsidRPr="00F9134B">
        <w:t xml:space="preserve"> It recommends </w:t>
      </w:r>
      <w:r w:rsidR="004A31CF" w:rsidRPr="00F9134B">
        <w:t>making efforts</w:t>
      </w:r>
      <w:r w:rsidR="0011558A" w:rsidRPr="00F9134B">
        <w:t xml:space="preserve"> to ensure adequate state funding to implement it at central and local levels. Efforts are also required to ensure</w:t>
      </w:r>
      <w:r w:rsidR="005F6540" w:rsidRPr="00F9134B">
        <w:t xml:space="preserve"> </w:t>
      </w:r>
      <w:r w:rsidR="0011558A" w:rsidRPr="00F9134B">
        <w:t>that all national strategies at central and local level are gender mainstreamed and apply gender</w:t>
      </w:r>
      <w:r w:rsidR="00F56AF8" w:rsidRPr="00F9134B">
        <w:t xml:space="preserve"> </w:t>
      </w:r>
      <w:r w:rsidR="0011558A" w:rsidRPr="00F9134B">
        <w:t>responsive budgeting.</w:t>
      </w:r>
      <w:r w:rsidRPr="00F9134B">
        <w:t xml:space="preserve"> </w:t>
      </w:r>
      <w:r w:rsidR="005F6540" w:rsidRPr="00F9134B">
        <w:t>In relation to gender responsive budgeting the government has made significant progress especially at central level and is considered one of the countries with a good practice in this area, therefore this recommendation is being implemented in practice.</w:t>
      </w:r>
    </w:p>
    <w:p w14:paraId="790BE6E4" w14:textId="56FDE088" w:rsidR="00397F94" w:rsidRPr="00F9134B" w:rsidRDefault="00397F94" w:rsidP="00F9134B">
      <w:pPr>
        <w:spacing w:before="0" w:beforeAutospacing="0" w:after="0" w:afterAutospacing="0"/>
      </w:pPr>
    </w:p>
    <w:p w14:paraId="06E5650F"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outlineLvl w:val="1"/>
        <w:rPr>
          <w:rFonts w:cs="Arial"/>
          <w:b/>
          <w:caps/>
          <w:spacing w:val="15"/>
        </w:rPr>
      </w:pPr>
      <w:r w:rsidRPr="00F9134B">
        <w:rPr>
          <w:rFonts w:cs="Arial"/>
          <w:b/>
          <w:caps/>
          <w:spacing w:val="15"/>
        </w:rPr>
        <w:t>Criterion H. Programming of IPA III at national level prioritises gender equality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2"/>
        <w:gridCol w:w="2124"/>
      </w:tblGrid>
      <w:tr w:rsidR="0011558A" w:rsidRPr="00F9134B" w14:paraId="5919AE28" w14:textId="77777777" w:rsidTr="1FF48150">
        <w:tc>
          <w:tcPr>
            <w:tcW w:w="7452" w:type="dxa"/>
            <w:tcBorders>
              <w:top w:val="single" w:sz="4" w:space="0" w:color="auto"/>
              <w:left w:val="single" w:sz="4" w:space="0" w:color="auto"/>
              <w:bottom w:val="single" w:sz="4" w:space="0" w:color="auto"/>
              <w:right w:val="single" w:sz="4" w:space="0" w:color="auto"/>
            </w:tcBorders>
            <w:hideMark/>
          </w:tcPr>
          <w:p w14:paraId="2962A31A" w14:textId="355F64F8" w:rsidR="0011558A" w:rsidRPr="00F9134B" w:rsidRDefault="0011558A" w:rsidP="00F9134B">
            <w:pPr>
              <w:pStyle w:val="ListParagraph"/>
              <w:numPr>
                <w:ilvl w:val="0"/>
                <w:numId w:val="3"/>
              </w:numPr>
              <w:spacing w:before="0" w:beforeAutospacing="0" w:afterAutospacing="0"/>
              <w:rPr>
                <w:rFonts w:ascii="Cambria" w:hAnsi="Cambria"/>
              </w:rPr>
            </w:pPr>
            <w:r w:rsidRPr="00F9134B">
              <w:rPr>
                <w:rFonts w:ascii="Cambria" w:hAnsi="Cambria"/>
              </w:rPr>
              <w:t xml:space="preserve">Extent to which responsible government bodies consulted women’s organisations for the development of the Multi-annual Indicative Programmes [IPA III Strategic Response] </w:t>
            </w:r>
          </w:p>
        </w:tc>
        <w:tc>
          <w:tcPr>
            <w:tcW w:w="2124" w:type="dxa"/>
            <w:tcBorders>
              <w:top w:val="single" w:sz="4" w:space="0" w:color="auto"/>
              <w:left w:val="single" w:sz="4" w:space="0" w:color="auto"/>
              <w:bottom w:val="single" w:sz="4" w:space="0" w:color="auto"/>
              <w:right w:val="single" w:sz="4" w:space="0" w:color="auto"/>
            </w:tcBorders>
            <w:hideMark/>
          </w:tcPr>
          <w:p w14:paraId="4817EE31" w14:textId="77777777" w:rsidR="0011558A" w:rsidRPr="00F9134B" w:rsidRDefault="00A02091" w:rsidP="00F9134B">
            <w:pPr>
              <w:spacing w:before="0" w:beforeAutospacing="0" w:after="0" w:afterAutospacing="0"/>
            </w:pPr>
            <w:r w:rsidRPr="00F9134B">
              <w:t>Minimally</w:t>
            </w:r>
          </w:p>
        </w:tc>
      </w:tr>
      <w:tr w:rsidR="0011558A" w:rsidRPr="00F9134B" w14:paraId="19C0E372" w14:textId="77777777" w:rsidTr="1FF48150">
        <w:tc>
          <w:tcPr>
            <w:tcW w:w="7452" w:type="dxa"/>
            <w:tcBorders>
              <w:top w:val="single" w:sz="4" w:space="0" w:color="auto"/>
              <w:left w:val="single" w:sz="4" w:space="0" w:color="auto"/>
              <w:bottom w:val="single" w:sz="4" w:space="0" w:color="auto"/>
              <w:right w:val="single" w:sz="4" w:space="0" w:color="auto"/>
            </w:tcBorders>
            <w:hideMark/>
          </w:tcPr>
          <w:p w14:paraId="493B2500" w14:textId="77777777" w:rsidR="0011558A" w:rsidRPr="00F9134B" w:rsidRDefault="0011558A" w:rsidP="00F9134B">
            <w:pPr>
              <w:numPr>
                <w:ilvl w:val="0"/>
                <w:numId w:val="3"/>
              </w:numPr>
              <w:spacing w:before="0" w:beforeAutospacing="0" w:after="0" w:afterAutospacing="0"/>
              <w:ind w:left="360" w:firstLine="0"/>
            </w:pPr>
            <w:r w:rsidRPr="00F9134B">
              <w:t>Extent to which multi-annual indicative Programme [IPA III Strategic Response] includes gender equality objectives</w:t>
            </w:r>
          </w:p>
        </w:tc>
        <w:tc>
          <w:tcPr>
            <w:tcW w:w="2124" w:type="dxa"/>
            <w:tcBorders>
              <w:top w:val="single" w:sz="4" w:space="0" w:color="auto"/>
              <w:left w:val="single" w:sz="4" w:space="0" w:color="auto"/>
              <w:bottom w:val="single" w:sz="4" w:space="0" w:color="auto"/>
              <w:right w:val="single" w:sz="4" w:space="0" w:color="auto"/>
            </w:tcBorders>
            <w:hideMark/>
          </w:tcPr>
          <w:p w14:paraId="7D073D20" w14:textId="77777777" w:rsidR="0011558A" w:rsidRPr="00F9134B" w:rsidRDefault="00E21F89" w:rsidP="00F9134B">
            <w:pPr>
              <w:spacing w:before="0" w:beforeAutospacing="0" w:after="0" w:afterAutospacing="0"/>
            </w:pPr>
            <w:r w:rsidRPr="00F9134B">
              <w:t>Not at all</w:t>
            </w:r>
          </w:p>
        </w:tc>
      </w:tr>
      <w:tr w:rsidR="0011558A" w:rsidRPr="00F9134B" w14:paraId="42115E97" w14:textId="77777777" w:rsidTr="1FF48150">
        <w:tc>
          <w:tcPr>
            <w:tcW w:w="7452" w:type="dxa"/>
            <w:tcBorders>
              <w:top w:val="single" w:sz="4" w:space="0" w:color="auto"/>
              <w:left w:val="single" w:sz="4" w:space="0" w:color="auto"/>
              <w:bottom w:val="single" w:sz="4" w:space="0" w:color="auto"/>
              <w:right w:val="single" w:sz="4" w:space="0" w:color="auto"/>
            </w:tcBorders>
            <w:hideMark/>
          </w:tcPr>
          <w:p w14:paraId="17E258C5" w14:textId="77777777" w:rsidR="0011558A" w:rsidRPr="00F9134B" w:rsidRDefault="0011558A" w:rsidP="00F9134B">
            <w:pPr>
              <w:numPr>
                <w:ilvl w:val="0"/>
                <w:numId w:val="3"/>
              </w:numPr>
              <w:spacing w:before="0" w:beforeAutospacing="0" w:after="0" w:afterAutospacing="0"/>
              <w:ind w:left="360" w:firstLine="0"/>
            </w:pPr>
            <w:r w:rsidRPr="00F9134B">
              <w:lastRenderedPageBreak/>
              <w:t>Extent to which annual Indicative Programs or Action Documents contain a gender perspective</w:t>
            </w:r>
          </w:p>
        </w:tc>
        <w:tc>
          <w:tcPr>
            <w:tcW w:w="2124" w:type="dxa"/>
            <w:tcBorders>
              <w:top w:val="single" w:sz="4" w:space="0" w:color="auto"/>
              <w:left w:val="single" w:sz="4" w:space="0" w:color="auto"/>
              <w:bottom w:val="single" w:sz="4" w:space="0" w:color="auto"/>
              <w:right w:val="single" w:sz="4" w:space="0" w:color="auto"/>
            </w:tcBorders>
            <w:hideMark/>
          </w:tcPr>
          <w:p w14:paraId="61743490" w14:textId="7AB2186D" w:rsidR="0011558A" w:rsidRPr="00F9134B" w:rsidRDefault="00EC4D99" w:rsidP="00F9134B">
            <w:pPr>
              <w:spacing w:before="0" w:beforeAutospacing="0" w:after="0" w:afterAutospacing="0"/>
            </w:pPr>
            <w:r w:rsidRPr="00F9134B">
              <w:t>Fully</w:t>
            </w:r>
          </w:p>
        </w:tc>
      </w:tr>
    </w:tbl>
    <w:p w14:paraId="0E8A16CF" w14:textId="77777777" w:rsidR="00DA4E8A" w:rsidRPr="00F9134B" w:rsidRDefault="00DA4E8A" w:rsidP="00F9134B">
      <w:pPr>
        <w:spacing w:before="0" w:beforeAutospacing="0" w:after="0" w:afterAutospacing="0"/>
      </w:pPr>
    </w:p>
    <w:p w14:paraId="2F669E60" w14:textId="2B000D79" w:rsidR="00903527" w:rsidRPr="00F9134B" w:rsidRDefault="000C16FF" w:rsidP="00F9134B">
      <w:pPr>
        <w:spacing w:before="0" w:beforeAutospacing="0" w:after="0" w:afterAutospacing="0"/>
      </w:pPr>
      <w:r w:rsidRPr="00F9134B">
        <w:t xml:space="preserve">Women’s CSOs are regularly consulted by the Ministry of Health and Social Protection on gender equality issues in general </w:t>
      </w:r>
      <w:r w:rsidR="00903527" w:rsidRPr="00F9134B">
        <w:t>but there is no regular consultation of CSOs on the development of the</w:t>
      </w:r>
      <w:r w:rsidR="00A161E4" w:rsidRPr="00F9134B">
        <w:t xml:space="preserve"> </w:t>
      </w:r>
      <w:r w:rsidR="001116C4" w:rsidRPr="00F9134B">
        <w:t>IPA III Strategic Response Document.</w:t>
      </w:r>
      <w:r w:rsidR="00903527" w:rsidRPr="00F9134B">
        <w:t xml:space="preserve"> </w:t>
      </w:r>
      <w:r w:rsidR="001116C4" w:rsidRPr="00F9134B" w:rsidDel="001116C4">
        <w:t xml:space="preserve"> </w:t>
      </w:r>
      <w:r w:rsidR="00903527" w:rsidRPr="00F9134B">
        <w:t xml:space="preserve">The 2021 IPA III Strategic Response has a specific section on consultations held in the preparation of the document, which includes also CSOs working in the area of social inclusion, gender equality and non-discrimination, </w:t>
      </w:r>
      <w:r w:rsidR="00E72C7D" w:rsidRPr="00F9134B">
        <w:t>considering</w:t>
      </w:r>
      <w:r w:rsidR="00903527" w:rsidRPr="00F9134B">
        <w:t xml:space="preserve"> the principles of the European Code of Conduct on Partnership. We could not find publicly available information on the details of the consultation process and which WCSOs were included. However</w:t>
      </w:r>
      <w:r w:rsidR="00E74720" w:rsidRPr="00F9134B">
        <w:t>,</w:t>
      </w:r>
      <w:r w:rsidR="004A31CF" w:rsidRPr="00F9134B">
        <w:t xml:space="preserve"> </w:t>
      </w:r>
      <w:r w:rsidR="00903527" w:rsidRPr="00F9134B">
        <w:t>there was one consultation held in 2020 by the IPA coordinator on the role of CSOs in the IPA process where one WCSO was in attendance.</w:t>
      </w:r>
      <w:r w:rsidR="00903527" w:rsidRPr="00F9134B">
        <w:rPr>
          <w:rStyle w:val="FootnoteReference"/>
        </w:rPr>
        <w:footnoteReference w:id="35"/>
      </w:r>
    </w:p>
    <w:p w14:paraId="40B0DD9C" w14:textId="77777777" w:rsidR="00DA4E8A" w:rsidRPr="00F9134B" w:rsidRDefault="00DA4E8A" w:rsidP="00F9134B">
      <w:pPr>
        <w:spacing w:before="0" w:beforeAutospacing="0" w:after="0" w:afterAutospacing="0"/>
      </w:pPr>
    </w:p>
    <w:p w14:paraId="73A08722" w14:textId="7CDA7F75" w:rsidR="00EC4D99" w:rsidRPr="00F9134B" w:rsidRDefault="00E74720" w:rsidP="00F9134B">
      <w:pPr>
        <w:spacing w:before="0" w:beforeAutospacing="0" w:after="0" w:afterAutospacing="0"/>
        <w:rPr>
          <w:rFonts w:cs="Arial"/>
        </w:rPr>
      </w:pPr>
      <w:r w:rsidRPr="00F9134B">
        <w:t>G</w:t>
      </w:r>
      <w:r w:rsidR="00671560" w:rsidRPr="00F9134B">
        <w:t xml:space="preserve">ender equality is </w:t>
      </w:r>
      <w:r w:rsidRPr="00F9134B">
        <w:t xml:space="preserve">significantly </w:t>
      </w:r>
      <w:r w:rsidR="00671560" w:rsidRPr="00F9134B">
        <w:t>mentioned</w:t>
      </w:r>
      <w:r w:rsidR="00150682" w:rsidRPr="00F9134B">
        <w:t xml:space="preserve"> in the IPA III Strategic Response document</w:t>
      </w:r>
      <w:r w:rsidR="00150682" w:rsidRPr="00F9134B">
        <w:rPr>
          <w:rStyle w:val="FootnoteReference"/>
          <w:rFonts w:cs="Arial"/>
        </w:rPr>
        <w:footnoteReference w:id="36"/>
      </w:r>
      <w:r w:rsidR="00671560" w:rsidRPr="00F9134B">
        <w:t xml:space="preserve"> and data and information </w:t>
      </w:r>
      <w:r w:rsidR="00EC4D99" w:rsidRPr="00F9134B">
        <w:t>are</w:t>
      </w:r>
      <w:r w:rsidR="00671560" w:rsidRPr="00F9134B">
        <w:t xml:space="preserve"> provided in the context analysis for each of the five windows</w:t>
      </w:r>
      <w:r w:rsidRPr="00F9134B">
        <w:t xml:space="preserve">, especially as it relates to the implementation of the National Strategy on Gender Equality. Specific mention is also made to </w:t>
      </w:r>
      <w:r w:rsidR="00EC4D99" w:rsidRPr="00F9134B">
        <w:t>Gender responsive Budgeting (</w:t>
      </w:r>
      <w:r w:rsidRPr="00F9134B">
        <w:t>GRB</w:t>
      </w:r>
      <w:r w:rsidR="00EC4D99" w:rsidRPr="00F9134B">
        <w:t>)</w:t>
      </w:r>
      <w:r w:rsidRPr="00F9134B">
        <w:t xml:space="preserve"> and its importance in Albania. However, </w:t>
      </w:r>
      <w:r w:rsidR="00671560" w:rsidRPr="00F9134B">
        <w:t xml:space="preserve">the resulting objectives under each thematic </w:t>
      </w:r>
      <w:r w:rsidR="00E72C7D" w:rsidRPr="00F9134B">
        <w:t>priority</w:t>
      </w:r>
      <w:r w:rsidR="00671560" w:rsidRPr="00F9134B">
        <w:t xml:space="preserve"> are completely gender blind, even the thematic priorities related to social inclusion and policies. </w:t>
      </w:r>
      <w:r w:rsidR="00EC4D99" w:rsidRPr="00F9134B">
        <w:t xml:space="preserve"> In general Action Documents for 5 of the IPA III actions fulfil a number of the criteria for receiving a score I in the DAC-GM, however none of them meets all the criteria for receiving that score</w:t>
      </w:r>
      <w:r w:rsidR="00397F94" w:rsidRPr="00F9134B">
        <w:t xml:space="preserve"> as analysed in criterion D above. </w:t>
      </w:r>
    </w:p>
    <w:p w14:paraId="56535005" w14:textId="77777777" w:rsidR="00A31EFF" w:rsidRPr="00F9134B" w:rsidRDefault="00A31EFF" w:rsidP="00F9134B">
      <w:pPr>
        <w:spacing w:before="0" w:beforeAutospacing="0" w:after="0" w:afterAutospacing="0"/>
        <w:jc w:val="left"/>
        <w:rPr>
          <w:rFonts w:cs="Arial"/>
        </w:rPr>
      </w:pPr>
    </w:p>
    <w:p w14:paraId="5531B8CA"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jc w:val="left"/>
        <w:outlineLvl w:val="1"/>
        <w:rPr>
          <w:rFonts w:cs="Arial"/>
          <w:b/>
          <w:caps/>
          <w:spacing w:val="15"/>
        </w:rPr>
      </w:pPr>
      <w:r w:rsidRPr="00F9134B">
        <w:rPr>
          <w:rFonts w:cs="Arial"/>
          <w:b/>
          <w:caps/>
          <w:spacing w:val="15"/>
        </w:rPr>
        <w:t xml:space="preserve">Criterion I. Sex-disaggregated data is collected by national statistical offices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6"/>
        <w:gridCol w:w="1590"/>
      </w:tblGrid>
      <w:tr w:rsidR="0011558A" w:rsidRPr="00F9134B" w14:paraId="1C6014EB" w14:textId="77777777" w:rsidTr="1FF48150">
        <w:tc>
          <w:tcPr>
            <w:tcW w:w="7986" w:type="dxa"/>
            <w:tcBorders>
              <w:top w:val="single" w:sz="4" w:space="0" w:color="auto"/>
              <w:left w:val="single" w:sz="4" w:space="0" w:color="auto"/>
              <w:bottom w:val="single" w:sz="4" w:space="0" w:color="auto"/>
              <w:right w:val="single" w:sz="4" w:space="0" w:color="auto"/>
            </w:tcBorders>
            <w:hideMark/>
          </w:tcPr>
          <w:p w14:paraId="6F8B0994" w14:textId="0C71E09C" w:rsidR="0011558A" w:rsidRPr="00F9134B" w:rsidRDefault="0011558A" w:rsidP="00F9134B">
            <w:pPr>
              <w:pStyle w:val="ListParagraph"/>
              <w:numPr>
                <w:ilvl w:val="0"/>
                <w:numId w:val="3"/>
              </w:numPr>
              <w:spacing w:before="0" w:beforeAutospacing="0" w:afterAutospacing="0"/>
              <w:jc w:val="left"/>
              <w:rPr>
                <w:rFonts w:ascii="Cambria" w:hAnsi="Cambria"/>
              </w:rPr>
            </w:pPr>
            <w:r w:rsidRPr="00F9134B">
              <w:rPr>
                <w:rFonts w:ascii="Cambria" w:hAnsi="Cambria"/>
              </w:rPr>
              <w:t>The Country has an updated Gender Equality Index (</w:t>
            </w:r>
            <w:r w:rsidR="00F56AF8" w:rsidRPr="00F9134B">
              <w:rPr>
                <w:rFonts w:ascii="Cambria" w:hAnsi="Cambria"/>
              </w:rPr>
              <w:t>GEI) at</w:t>
            </w:r>
            <w:r w:rsidRPr="00F9134B">
              <w:rPr>
                <w:rFonts w:ascii="Cambria" w:hAnsi="Cambria"/>
              </w:rPr>
              <w:t xml:space="preserve"> national level </w:t>
            </w:r>
          </w:p>
        </w:tc>
        <w:tc>
          <w:tcPr>
            <w:tcW w:w="1590" w:type="dxa"/>
            <w:tcBorders>
              <w:top w:val="single" w:sz="4" w:space="0" w:color="auto"/>
              <w:left w:val="single" w:sz="4" w:space="0" w:color="auto"/>
              <w:bottom w:val="single" w:sz="4" w:space="0" w:color="auto"/>
              <w:right w:val="single" w:sz="4" w:space="0" w:color="auto"/>
            </w:tcBorders>
            <w:hideMark/>
          </w:tcPr>
          <w:p w14:paraId="43FB57B2" w14:textId="5CFDDB57" w:rsidR="0011558A" w:rsidRPr="00F9134B" w:rsidRDefault="00924004" w:rsidP="00F9134B">
            <w:pPr>
              <w:spacing w:before="0" w:beforeAutospacing="0" w:after="0" w:afterAutospacing="0"/>
            </w:pPr>
            <w:r w:rsidRPr="00F9134B">
              <w:t>Yes</w:t>
            </w:r>
            <w:r w:rsidR="00402225" w:rsidRPr="00F9134B">
              <w:t xml:space="preserve"> </w:t>
            </w:r>
          </w:p>
        </w:tc>
      </w:tr>
      <w:tr w:rsidR="0011558A" w:rsidRPr="00F9134B" w14:paraId="7D79090D" w14:textId="77777777" w:rsidTr="1FF48150">
        <w:tc>
          <w:tcPr>
            <w:tcW w:w="7986" w:type="dxa"/>
            <w:tcBorders>
              <w:top w:val="single" w:sz="4" w:space="0" w:color="auto"/>
              <w:left w:val="single" w:sz="4" w:space="0" w:color="auto"/>
              <w:bottom w:val="single" w:sz="4" w:space="0" w:color="auto"/>
              <w:right w:val="single" w:sz="4" w:space="0" w:color="auto"/>
            </w:tcBorders>
            <w:hideMark/>
          </w:tcPr>
          <w:p w14:paraId="2D0F3943" w14:textId="77777777" w:rsidR="0011558A" w:rsidRPr="00F9134B" w:rsidRDefault="0011558A" w:rsidP="00F9134B">
            <w:pPr>
              <w:numPr>
                <w:ilvl w:val="0"/>
                <w:numId w:val="3"/>
              </w:numPr>
              <w:spacing w:before="0" w:beforeAutospacing="0" w:after="0" w:afterAutospacing="0"/>
              <w:ind w:firstLine="0"/>
              <w:jc w:val="left"/>
            </w:pPr>
            <w:r w:rsidRPr="00F9134B">
              <w:t xml:space="preserve">Whether National Statistical Offices publish a report with easily </w:t>
            </w:r>
            <w:r w:rsidR="00F56AF8" w:rsidRPr="00F9134B">
              <w:t>accessible sex</w:t>
            </w:r>
            <w:r w:rsidRPr="00F9134B">
              <w:t>-disaggregated data that is sufficient for the public’s use (based on Women &amp; Men publication)</w:t>
            </w:r>
          </w:p>
        </w:tc>
        <w:tc>
          <w:tcPr>
            <w:tcW w:w="1590" w:type="dxa"/>
            <w:tcBorders>
              <w:top w:val="single" w:sz="4" w:space="0" w:color="auto"/>
              <w:left w:val="single" w:sz="4" w:space="0" w:color="auto"/>
              <w:bottom w:val="single" w:sz="4" w:space="0" w:color="auto"/>
              <w:right w:val="single" w:sz="4" w:space="0" w:color="auto"/>
            </w:tcBorders>
            <w:hideMark/>
          </w:tcPr>
          <w:p w14:paraId="3C149A87" w14:textId="11D489FA" w:rsidR="0011558A" w:rsidRPr="00F9134B" w:rsidRDefault="00924004" w:rsidP="00F9134B">
            <w:pPr>
              <w:spacing w:before="0" w:beforeAutospacing="0" w:after="0" w:afterAutospacing="0"/>
            </w:pPr>
            <w:r w:rsidRPr="00F9134B">
              <w:t>Yes</w:t>
            </w:r>
          </w:p>
        </w:tc>
      </w:tr>
    </w:tbl>
    <w:p w14:paraId="275D3A06" w14:textId="77777777" w:rsidR="004A31CF" w:rsidRPr="00F9134B" w:rsidRDefault="004A31CF" w:rsidP="00F9134B">
      <w:pPr>
        <w:spacing w:before="0" w:beforeAutospacing="0" w:after="0" w:afterAutospacing="0"/>
      </w:pPr>
    </w:p>
    <w:p w14:paraId="5531D318" w14:textId="1D3BB132" w:rsidR="1FF48150" w:rsidRPr="00F9134B" w:rsidRDefault="0011558A" w:rsidP="00F9134B">
      <w:pPr>
        <w:spacing w:before="0" w:beforeAutospacing="0" w:after="0" w:afterAutospacing="0"/>
      </w:pPr>
      <w:r w:rsidRPr="00F9134B">
        <w:t>To-date, Albania has published only one GEIs: in 2020.</w:t>
      </w:r>
      <w:r w:rsidRPr="00F9134B">
        <w:rPr>
          <w:rStyle w:val="FootnoteReference"/>
          <w:rFonts w:eastAsia="Calibri"/>
        </w:rPr>
        <w:footnoteReference w:id="37"/>
      </w:r>
      <w:r w:rsidRPr="00F9134B">
        <w:t xml:space="preserve"> The second one is under preparation</w:t>
      </w:r>
      <w:r w:rsidR="00402225" w:rsidRPr="00F9134B">
        <w:t xml:space="preserve"> based on the data from 2021</w:t>
      </w:r>
      <w:r w:rsidRPr="00F9134B">
        <w:t xml:space="preserve">. </w:t>
      </w:r>
    </w:p>
    <w:p w14:paraId="16098397" w14:textId="77777777" w:rsidR="00DA4E8A" w:rsidRPr="00F9134B" w:rsidRDefault="00DA4E8A" w:rsidP="00F9134B">
      <w:pPr>
        <w:spacing w:before="0" w:beforeAutospacing="0" w:after="0" w:afterAutospacing="0"/>
      </w:pPr>
    </w:p>
    <w:p w14:paraId="65A3D01C" w14:textId="0609E2B8" w:rsidR="00150682" w:rsidRPr="00F9134B" w:rsidRDefault="0011558A" w:rsidP="00F9134B">
      <w:pPr>
        <w:spacing w:before="0" w:beforeAutospacing="0" w:after="0" w:afterAutospacing="0"/>
        <w:rPr>
          <w:rFonts w:cs="Arial"/>
        </w:rPr>
      </w:pPr>
      <w:r w:rsidRPr="00F9134B">
        <w:t xml:space="preserve">The latest Publication on Women and Men was published in April 2021 with data referring to 2020. </w:t>
      </w:r>
      <w:r w:rsidR="002743ED" w:rsidRPr="00F9134B">
        <w:t xml:space="preserve">The publication with data from 2021 is not yet publicly available. “Men and Women in Albania” is an annual publication, which presents data on different areas of life divided by gender, in order to capture the main gaps and progress in achieving gender equality. The publication covers ten different areas: population, health, education, labour Market and Social Protection, Crime and Criminal Justice Statistics, Women in Decision-making, Social Indicators from Households Surveys, Human Rights, Gender Inequality Index, Minimal Set of Gender Indicators. </w:t>
      </w:r>
      <w:r w:rsidRPr="00F9134B">
        <w:t xml:space="preserve">However, this publication does not contain any data about the </w:t>
      </w:r>
      <w:r w:rsidR="002743ED" w:rsidRPr="00F9134B">
        <w:t xml:space="preserve">differential impact of </w:t>
      </w:r>
      <w:r w:rsidRPr="00F9134B">
        <w:t>Covid-19</w:t>
      </w:r>
      <w:r w:rsidR="002743ED" w:rsidRPr="00F9134B">
        <w:t xml:space="preserve"> on women, men and minorities</w:t>
      </w:r>
      <w:r w:rsidRPr="00F9134B">
        <w:t xml:space="preserve">. </w:t>
      </w:r>
      <w:r w:rsidR="00E74720" w:rsidRPr="00F9134B">
        <w:t>While the Women and Men publication is a valuable source for sex disaggregated data, it does not include all types of data and the</w:t>
      </w:r>
      <w:r w:rsidR="00150682" w:rsidRPr="00F9134B">
        <w:t xml:space="preserve"> raw</w:t>
      </w:r>
      <w:r w:rsidR="00E74720" w:rsidRPr="00F9134B">
        <w:t xml:space="preserve"> databases </w:t>
      </w:r>
      <w:r w:rsidR="00E06AFE" w:rsidRPr="00F9134B">
        <w:t xml:space="preserve">can be accessed through direct request to the Institute of </w:t>
      </w:r>
      <w:r w:rsidR="00E06AFE" w:rsidRPr="00F9134B">
        <w:lastRenderedPageBreak/>
        <w:t xml:space="preserve">Statistics. </w:t>
      </w:r>
      <w:r w:rsidR="00B425B1" w:rsidRPr="00F9134B">
        <w:t xml:space="preserve">These data are often scattered between different institutions, incomplete, not accessible or of poor quality. There is a need to improve quality and depth of sex-disaggregated data collected and published. </w:t>
      </w:r>
      <w:r w:rsidR="007E3413" w:rsidRPr="00F9134B">
        <w:rPr>
          <w:rFonts w:cs="Arial"/>
        </w:rPr>
        <w:t xml:space="preserve"> </w:t>
      </w:r>
    </w:p>
    <w:p w14:paraId="444B5C6C" w14:textId="77777777" w:rsidR="00DA4E8A" w:rsidRPr="00F9134B" w:rsidRDefault="00DA4E8A" w:rsidP="00F9134B">
      <w:pPr>
        <w:spacing w:before="0" w:beforeAutospacing="0" w:after="0" w:afterAutospacing="0"/>
        <w:rPr>
          <w:rFonts w:cs="Arial"/>
        </w:rPr>
      </w:pPr>
    </w:p>
    <w:p w14:paraId="58739F62" w14:textId="77777777" w:rsidR="00A31EFF" w:rsidRPr="00F9134B" w:rsidRDefault="00A31EFF" w:rsidP="00F9134B">
      <w:pPr>
        <w:pBdr>
          <w:top w:val="single" w:sz="24" w:space="0" w:color="4BACC6"/>
          <w:left w:val="single" w:sz="24" w:space="0" w:color="4BACC6"/>
          <w:bottom w:val="single" w:sz="24" w:space="0" w:color="4BACC6"/>
          <w:right w:val="single" w:sz="24" w:space="0" w:color="4BACC6"/>
        </w:pBdr>
        <w:shd w:val="clear" w:color="auto" w:fill="4BACC6"/>
        <w:spacing w:before="0" w:beforeAutospacing="0" w:after="0" w:afterAutospacing="0"/>
        <w:jc w:val="left"/>
        <w:outlineLvl w:val="1"/>
        <w:rPr>
          <w:rFonts w:cs="Arial"/>
          <w:b/>
          <w:caps/>
          <w:spacing w:val="15"/>
        </w:rPr>
      </w:pPr>
      <w:r w:rsidRPr="00F9134B">
        <w:rPr>
          <w:rFonts w:cs="Arial"/>
          <w:b/>
          <w:caps/>
          <w:spacing w:val="15"/>
        </w:rPr>
        <w:t>Criterion J. National bodies responsible for EU integration include staff with gender expertise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0"/>
        <w:gridCol w:w="1976"/>
      </w:tblGrid>
      <w:tr w:rsidR="0011558A" w:rsidRPr="00F9134B" w14:paraId="3134B8C9" w14:textId="77777777" w:rsidTr="004A31CF">
        <w:tc>
          <w:tcPr>
            <w:tcW w:w="7600" w:type="dxa"/>
            <w:tcBorders>
              <w:top w:val="single" w:sz="4" w:space="0" w:color="auto"/>
              <w:left w:val="single" w:sz="4" w:space="0" w:color="auto"/>
              <w:bottom w:val="single" w:sz="4" w:space="0" w:color="auto"/>
              <w:right w:val="single" w:sz="4" w:space="0" w:color="auto"/>
            </w:tcBorders>
            <w:hideMark/>
          </w:tcPr>
          <w:p w14:paraId="66B64AF1" w14:textId="3C838446" w:rsidR="0011558A" w:rsidRPr="00F9134B" w:rsidRDefault="0011558A" w:rsidP="00F9134B">
            <w:pPr>
              <w:pStyle w:val="ListParagraph"/>
              <w:numPr>
                <w:ilvl w:val="0"/>
                <w:numId w:val="3"/>
              </w:numPr>
              <w:spacing w:before="0" w:beforeAutospacing="0" w:afterAutospacing="0"/>
              <w:jc w:val="left"/>
              <w:rPr>
                <w:rFonts w:ascii="Cambria" w:hAnsi="Cambria"/>
              </w:rPr>
            </w:pPr>
            <w:r w:rsidRPr="00F9134B">
              <w:rPr>
                <w:rFonts w:ascii="Cambria" w:hAnsi="Cambria"/>
              </w:rPr>
              <w:t xml:space="preserve">Extent to which gender expertise exists in the government body responsible for EU integration </w:t>
            </w:r>
          </w:p>
        </w:tc>
        <w:tc>
          <w:tcPr>
            <w:tcW w:w="1976" w:type="dxa"/>
            <w:tcBorders>
              <w:top w:val="single" w:sz="4" w:space="0" w:color="auto"/>
              <w:left w:val="single" w:sz="4" w:space="0" w:color="auto"/>
              <w:bottom w:val="single" w:sz="4" w:space="0" w:color="auto"/>
              <w:right w:val="single" w:sz="4" w:space="0" w:color="auto"/>
            </w:tcBorders>
            <w:hideMark/>
          </w:tcPr>
          <w:p w14:paraId="7A65DF4E" w14:textId="77777777" w:rsidR="0011558A" w:rsidRPr="00F9134B" w:rsidRDefault="00E21F89" w:rsidP="00F9134B">
            <w:pPr>
              <w:spacing w:before="0" w:beforeAutospacing="0" w:after="0" w:afterAutospacing="0"/>
              <w:jc w:val="left"/>
            </w:pPr>
            <w:r w:rsidRPr="00F9134B">
              <w:t>Moderately</w:t>
            </w:r>
          </w:p>
        </w:tc>
      </w:tr>
      <w:tr w:rsidR="0011558A" w:rsidRPr="00F9134B" w14:paraId="405AE561" w14:textId="77777777" w:rsidTr="004A31CF">
        <w:tc>
          <w:tcPr>
            <w:tcW w:w="7600" w:type="dxa"/>
            <w:tcBorders>
              <w:top w:val="single" w:sz="4" w:space="0" w:color="auto"/>
              <w:left w:val="single" w:sz="4" w:space="0" w:color="auto"/>
              <w:bottom w:val="single" w:sz="4" w:space="0" w:color="auto"/>
              <w:right w:val="single" w:sz="4" w:space="0" w:color="auto"/>
            </w:tcBorders>
            <w:hideMark/>
          </w:tcPr>
          <w:p w14:paraId="4EA1BDD4" w14:textId="77777777" w:rsidR="0011558A" w:rsidRPr="00F9134B" w:rsidRDefault="0011558A" w:rsidP="00F9134B">
            <w:pPr>
              <w:numPr>
                <w:ilvl w:val="0"/>
                <w:numId w:val="3"/>
              </w:numPr>
              <w:spacing w:before="0" w:beforeAutospacing="0" w:after="0" w:afterAutospacing="0"/>
              <w:jc w:val="left"/>
            </w:pPr>
            <w:r w:rsidRPr="00F9134B">
              <w:t xml:space="preserve">% of staff trained on gender equality in the national body responsible for EU integration </w:t>
            </w:r>
          </w:p>
        </w:tc>
        <w:tc>
          <w:tcPr>
            <w:tcW w:w="1976" w:type="dxa"/>
            <w:tcBorders>
              <w:top w:val="single" w:sz="4" w:space="0" w:color="auto"/>
              <w:left w:val="single" w:sz="4" w:space="0" w:color="auto"/>
              <w:bottom w:val="single" w:sz="4" w:space="0" w:color="auto"/>
              <w:right w:val="single" w:sz="4" w:space="0" w:color="auto"/>
            </w:tcBorders>
            <w:hideMark/>
          </w:tcPr>
          <w:p w14:paraId="2DFC3A72" w14:textId="77777777" w:rsidR="0011558A" w:rsidRPr="00F9134B" w:rsidRDefault="00921597" w:rsidP="00F9134B">
            <w:pPr>
              <w:spacing w:before="0" w:beforeAutospacing="0" w:after="0" w:afterAutospacing="0"/>
              <w:jc w:val="left"/>
            </w:pPr>
            <w:r w:rsidRPr="00F9134B">
              <w:t>Cannot</w:t>
            </w:r>
            <w:r w:rsidR="0011558A" w:rsidRPr="00F9134B">
              <w:t xml:space="preserve"> be concluded</w:t>
            </w:r>
          </w:p>
        </w:tc>
      </w:tr>
      <w:tr w:rsidR="0011558A" w:rsidRPr="00F9134B" w14:paraId="7A9D7E83" w14:textId="77777777" w:rsidTr="004A31CF">
        <w:tc>
          <w:tcPr>
            <w:tcW w:w="7600" w:type="dxa"/>
            <w:tcBorders>
              <w:top w:val="single" w:sz="4" w:space="0" w:color="auto"/>
              <w:left w:val="single" w:sz="4" w:space="0" w:color="auto"/>
              <w:bottom w:val="single" w:sz="4" w:space="0" w:color="auto"/>
              <w:right w:val="single" w:sz="4" w:space="0" w:color="auto"/>
            </w:tcBorders>
            <w:hideMark/>
          </w:tcPr>
          <w:p w14:paraId="7A1E9C64" w14:textId="77777777" w:rsidR="0011558A" w:rsidRPr="00F9134B" w:rsidRDefault="0011558A" w:rsidP="00F9134B">
            <w:pPr>
              <w:numPr>
                <w:ilvl w:val="0"/>
                <w:numId w:val="3"/>
              </w:numPr>
              <w:spacing w:before="0" w:beforeAutospacing="0" w:after="0" w:afterAutospacing="0"/>
              <w:jc w:val="left"/>
            </w:pPr>
            <w:r w:rsidRPr="00F9134B">
              <w:t xml:space="preserve">Extent to which Gender Focal Points are consulted in the IPA programming </w:t>
            </w:r>
          </w:p>
        </w:tc>
        <w:tc>
          <w:tcPr>
            <w:tcW w:w="1976" w:type="dxa"/>
            <w:tcBorders>
              <w:top w:val="single" w:sz="4" w:space="0" w:color="auto"/>
              <w:left w:val="single" w:sz="4" w:space="0" w:color="auto"/>
              <w:bottom w:val="single" w:sz="4" w:space="0" w:color="auto"/>
              <w:right w:val="single" w:sz="4" w:space="0" w:color="auto"/>
            </w:tcBorders>
            <w:hideMark/>
          </w:tcPr>
          <w:p w14:paraId="0362A696" w14:textId="77777777" w:rsidR="0011558A" w:rsidRPr="00F9134B" w:rsidRDefault="00E21F89" w:rsidP="00F9134B">
            <w:pPr>
              <w:spacing w:before="0" w:beforeAutospacing="0" w:after="0" w:afterAutospacing="0"/>
              <w:jc w:val="left"/>
            </w:pPr>
            <w:r w:rsidRPr="00F9134B">
              <w:t>Moderately</w:t>
            </w:r>
          </w:p>
        </w:tc>
      </w:tr>
      <w:tr w:rsidR="0011558A" w:rsidRPr="00F9134B" w14:paraId="01A50E58" w14:textId="77777777" w:rsidTr="004A31CF">
        <w:tc>
          <w:tcPr>
            <w:tcW w:w="7600" w:type="dxa"/>
            <w:tcBorders>
              <w:top w:val="single" w:sz="4" w:space="0" w:color="auto"/>
              <w:left w:val="single" w:sz="4" w:space="0" w:color="auto"/>
              <w:bottom w:val="single" w:sz="4" w:space="0" w:color="auto"/>
              <w:right w:val="single" w:sz="4" w:space="0" w:color="auto"/>
            </w:tcBorders>
            <w:hideMark/>
          </w:tcPr>
          <w:p w14:paraId="070B665F" w14:textId="77777777" w:rsidR="0011558A" w:rsidRPr="00F9134B" w:rsidRDefault="0011558A" w:rsidP="00F9134B">
            <w:pPr>
              <w:numPr>
                <w:ilvl w:val="0"/>
                <w:numId w:val="3"/>
              </w:numPr>
              <w:spacing w:before="0" w:beforeAutospacing="0" w:after="0" w:afterAutospacing="0"/>
              <w:jc w:val="left"/>
            </w:pPr>
            <w:r w:rsidRPr="00F9134B">
              <w:t>Extent to which gender equality expertise exists in national statistical offices</w:t>
            </w:r>
          </w:p>
        </w:tc>
        <w:tc>
          <w:tcPr>
            <w:tcW w:w="1976" w:type="dxa"/>
            <w:tcBorders>
              <w:top w:val="single" w:sz="4" w:space="0" w:color="auto"/>
              <w:left w:val="single" w:sz="4" w:space="0" w:color="auto"/>
              <w:bottom w:val="single" w:sz="4" w:space="0" w:color="auto"/>
              <w:right w:val="single" w:sz="4" w:space="0" w:color="auto"/>
            </w:tcBorders>
            <w:hideMark/>
          </w:tcPr>
          <w:p w14:paraId="5B630AE0" w14:textId="77777777" w:rsidR="0011558A" w:rsidRPr="00F9134B" w:rsidRDefault="00E21F89" w:rsidP="00F9134B">
            <w:pPr>
              <w:spacing w:before="0" w:beforeAutospacing="0" w:after="0" w:afterAutospacing="0"/>
              <w:jc w:val="left"/>
            </w:pPr>
            <w:r w:rsidRPr="00F9134B">
              <w:t>Extensively</w:t>
            </w:r>
          </w:p>
        </w:tc>
      </w:tr>
    </w:tbl>
    <w:p w14:paraId="3423E6B7" w14:textId="77777777" w:rsidR="00A31EFF" w:rsidRPr="00F9134B" w:rsidRDefault="00A31EFF" w:rsidP="00F9134B">
      <w:pPr>
        <w:spacing w:before="0" w:beforeAutospacing="0" w:after="0" w:afterAutospacing="0"/>
        <w:jc w:val="left"/>
      </w:pPr>
    </w:p>
    <w:p w14:paraId="6056BC6B" w14:textId="77777777" w:rsidR="00921597" w:rsidRPr="00F9134B" w:rsidRDefault="00921597" w:rsidP="00F9134B">
      <w:pPr>
        <w:spacing w:before="0" w:beforeAutospacing="0" w:after="0" w:afterAutospacing="0"/>
      </w:pPr>
      <w:r w:rsidRPr="00F9134B">
        <w:t xml:space="preserve">The gender equality mechanism extends from the national to the local level through a chain of institutions, each of which serves as an implementing, decision-making and advisory body. </w:t>
      </w:r>
    </w:p>
    <w:p w14:paraId="2FEB1453" w14:textId="301BB7E5" w:rsidR="00E85718" w:rsidRPr="00F9134B" w:rsidRDefault="00921597" w:rsidP="00F9134B">
      <w:pPr>
        <w:spacing w:before="0" w:beforeAutospacing="0" w:after="0" w:afterAutospacing="0"/>
      </w:pPr>
      <w:r w:rsidRPr="00F9134B">
        <w:t>At the central level</w:t>
      </w:r>
      <w:r w:rsidR="00DA4E8A" w:rsidRPr="00F9134B">
        <w:t xml:space="preserve"> t</w:t>
      </w:r>
      <w:r w:rsidRPr="00F9134B">
        <w:t>he Albanian Parliament has several committees and sub-committees, addressing issues related to gender equality. These include:</w:t>
      </w:r>
    </w:p>
    <w:p w14:paraId="7B275279" w14:textId="378CD712" w:rsidR="0053444C" w:rsidRPr="00F9134B" w:rsidRDefault="009C679B" w:rsidP="00F9134B">
      <w:pPr>
        <w:pStyle w:val="ListParagraph"/>
        <w:numPr>
          <w:ilvl w:val="0"/>
          <w:numId w:val="20"/>
        </w:numPr>
        <w:spacing w:before="0" w:beforeAutospacing="0" w:afterAutospacing="0"/>
        <w:rPr>
          <w:rFonts w:ascii="Cambria" w:hAnsi="Cambria"/>
        </w:rPr>
      </w:pPr>
      <w:r w:rsidRPr="00F9134B">
        <w:rPr>
          <w:rFonts w:ascii="Cambria" w:hAnsi="Cambria"/>
        </w:rPr>
        <w:t xml:space="preserve">Parliamentary </w:t>
      </w:r>
      <w:r w:rsidR="0053444C" w:rsidRPr="00F9134B">
        <w:rPr>
          <w:rFonts w:ascii="Cambria" w:hAnsi="Cambria"/>
        </w:rPr>
        <w:t xml:space="preserve">Committee on </w:t>
      </w:r>
      <w:proofErr w:type="spellStart"/>
      <w:r w:rsidR="0053444C" w:rsidRPr="00F9134B">
        <w:rPr>
          <w:rFonts w:ascii="Cambria" w:hAnsi="Cambria"/>
        </w:rPr>
        <w:t>Labor</w:t>
      </w:r>
      <w:proofErr w:type="spellEnd"/>
      <w:r w:rsidR="0053444C" w:rsidRPr="00F9134B">
        <w:rPr>
          <w:rFonts w:ascii="Cambria" w:hAnsi="Cambria"/>
        </w:rPr>
        <w:t>, Social Affairs and Health Care</w:t>
      </w:r>
    </w:p>
    <w:p w14:paraId="2E93EE2F" w14:textId="77777777" w:rsidR="0053444C" w:rsidRPr="00F9134B" w:rsidRDefault="0053444C" w:rsidP="00F9134B">
      <w:pPr>
        <w:pStyle w:val="ListParagraph"/>
        <w:numPr>
          <w:ilvl w:val="0"/>
          <w:numId w:val="20"/>
        </w:numPr>
        <w:spacing w:before="0" w:beforeAutospacing="0" w:afterAutospacing="0"/>
        <w:rPr>
          <w:rFonts w:ascii="Cambria" w:hAnsi="Cambria"/>
        </w:rPr>
      </w:pPr>
      <w:r w:rsidRPr="00F9134B">
        <w:rPr>
          <w:rFonts w:ascii="Cambria" w:hAnsi="Cambria"/>
        </w:rPr>
        <w:t xml:space="preserve">Subcommittee "On Gender Equality and Prevention of Violence against Women". </w:t>
      </w:r>
    </w:p>
    <w:p w14:paraId="5546F4D2" w14:textId="0EFCA207" w:rsidR="002062F8" w:rsidRPr="00F9134B" w:rsidRDefault="0053444C" w:rsidP="00F9134B">
      <w:pPr>
        <w:pStyle w:val="ListParagraph"/>
        <w:numPr>
          <w:ilvl w:val="0"/>
          <w:numId w:val="20"/>
        </w:numPr>
        <w:spacing w:before="0" w:beforeAutospacing="0" w:afterAutospacing="0"/>
        <w:rPr>
          <w:rFonts w:ascii="Cambria" w:hAnsi="Cambria"/>
        </w:rPr>
      </w:pPr>
      <w:r w:rsidRPr="00F9134B">
        <w:rPr>
          <w:rFonts w:ascii="Cambria" w:hAnsi="Cambria"/>
        </w:rPr>
        <w:t xml:space="preserve">Subcommittee on Human Rights. </w:t>
      </w:r>
    </w:p>
    <w:p w14:paraId="0CE09C45" w14:textId="1FB48F33" w:rsidR="002062F8" w:rsidRPr="00F9134B" w:rsidRDefault="002062F8" w:rsidP="00F9134B">
      <w:pPr>
        <w:spacing w:before="0" w:beforeAutospacing="0" w:after="0" w:afterAutospacing="0"/>
      </w:pPr>
      <w:r w:rsidRPr="00F9134B">
        <w:t xml:space="preserve">Other gender equality mechanisms include: </w:t>
      </w:r>
    </w:p>
    <w:p w14:paraId="3E5D28DB" w14:textId="77777777" w:rsidR="0053444C" w:rsidRPr="00F9134B" w:rsidRDefault="0053444C" w:rsidP="00F9134B">
      <w:pPr>
        <w:pStyle w:val="ListParagraph"/>
        <w:numPr>
          <w:ilvl w:val="0"/>
          <w:numId w:val="20"/>
        </w:numPr>
        <w:spacing w:before="0" w:beforeAutospacing="0" w:afterAutospacing="0"/>
        <w:rPr>
          <w:rFonts w:ascii="Cambria" w:hAnsi="Cambria"/>
        </w:rPr>
      </w:pPr>
      <w:r w:rsidRPr="00F9134B">
        <w:rPr>
          <w:rFonts w:ascii="Cambria" w:hAnsi="Cambria"/>
        </w:rPr>
        <w:t xml:space="preserve">The National Council for Gender Equality </w:t>
      </w:r>
    </w:p>
    <w:p w14:paraId="16F529CF" w14:textId="77777777" w:rsidR="0053444C" w:rsidRPr="00F9134B" w:rsidRDefault="0053444C" w:rsidP="00F9134B">
      <w:pPr>
        <w:pStyle w:val="ListParagraph"/>
        <w:numPr>
          <w:ilvl w:val="0"/>
          <w:numId w:val="20"/>
        </w:numPr>
        <w:spacing w:before="0" w:beforeAutospacing="0" w:afterAutospacing="0"/>
        <w:rPr>
          <w:rFonts w:ascii="Cambria" w:hAnsi="Cambria"/>
        </w:rPr>
      </w:pPr>
      <w:r w:rsidRPr="00F9134B">
        <w:rPr>
          <w:rFonts w:ascii="Cambria" w:hAnsi="Cambria"/>
        </w:rPr>
        <w:t xml:space="preserve">The Ministry of Health and Social Protection </w:t>
      </w:r>
    </w:p>
    <w:p w14:paraId="5651B247" w14:textId="57F78E54" w:rsidR="0053444C" w:rsidRPr="00F9134B" w:rsidRDefault="0053444C" w:rsidP="00F9134B">
      <w:pPr>
        <w:pStyle w:val="ListParagraph"/>
        <w:numPr>
          <w:ilvl w:val="0"/>
          <w:numId w:val="20"/>
        </w:numPr>
        <w:spacing w:before="0" w:beforeAutospacing="0" w:afterAutospacing="0"/>
        <w:rPr>
          <w:rFonts w:ascii="Cambria" w:hAnsi="Cambria"/>
        </w:rPr>
      </w:pPr>
      <w:r w:rsidRPr="00F9134B">
        <w:rPr>
          <w:rFonts w:ascii="Cambria" w:hAnsi="Cambria"/>
        </w:rPr>
        <w:t>National human rights institutions, such as the Ombudsman and the Commissioner against Discrimination.</w:t>
      </w:r>
    </w:p>
    <w:p w14:paraId="173143F5" w14:textId="77777777" w:rsidR="0053444C" w:rsidRPr="00F9134B" w:rsidRDefault="0053444C" w:rsidP="00F9134B">
      <w:pPr>
        <w:pStyle w:val="ListParagraph"/>
        <w:numPr>
          <w:ilvl w:val="0"/>
          <w:numId w:val="20"/>
        </w:numPr>
        <w:spacing w:before="0" w:beforeAutospacing="0" w:afterAutospacing="0"/>
        <w:rPr>
          <w:rFonts w:ascii="Cambria" w:hAnsi="Cambria"/>
        </w:rPr>
      </w:pPr>
      <w:r w:rsidRPr="00F9134B">
        <w:rPr>
          <w:rFonts w:ascii="Cambria" w:hAnsi="Cambria"/>
        </w:rPr>
        <w:t>Gender Equality Officer (GEO) mechanism in central and local public institutions, defined according to LGE and NSGE (2016-2020)</w:t>
      </w:r>
    </w:p>
    <w:p w14:paraId="0417353C" w14:textId="77777777" w:rsidR="00921597" w:rsidRPr="00F9134B" w:rsidRDefault="00921597" w:rsidP="00F9134B">
      <w:pPr>
        <w:spacing w:before="0" w:beforeAutospacing="0" w:after="0" w:afterAutospacing="0"/>
      </w:pPr>
    </w:p>
    <w:p w14:paraId="509ECD37" w14:textId="3A11DFCE" w:rsidR="0053444C" w:rsidRPr="00F9134B" w:rsidRDefault="00921597" w:rsidP="00F9134B">
      <w:pPr>
        <w:spacing w:before="0" w:beforeAutospacing="0" w:after="0" w:afterAutospacing="0"/>
      </w:pPr>
      <w:r w:rsidRPr="00F9134B">
        <w:t xml:space="preserve">At the central level, </w:t>
      </w:r>
      <w:r w:rsidR="0051409E" w:rsidRPr="00F9134B">
        <w:t xml:space="preserve">all line ministries have appointed a Gender Focal Point. </w:t>
      </w:r>
      <w:r w:rsidRPr="00F9134B">
        <w:t>However, the obligations and responsibilities of a gender equality officer, in accordance with the L</w:t>
      </w:r>
      <w:r w:rsidR="0051409E" w:rsidRPr="00F9134B">
        <w:t>aw for Gender Equality (LGE)</w:t>
      </w:r>
      <w:r w:rsidRPr="00F9134B">
        <w:t xml:space="preserve"> are added in their job descriptions</w:t>
      </w:r>
      <w:r w:rsidR="0051409E" w:rsidRPr="00F9134B">
        <w:t xml:space="preserve"> as an additional responsibility to their current roles, so they perform other duties as well.</w:t>
      </w:r>
      <w:r w:rsidRPr="00F9134B">
        <w:t xml:space="preserve"> In addition to the 11 G</w:t>
      </w:r>
      <w:r w:rsidR="0053444C" w:rsidRPr="00F9134B">
        <w:t>ender Equality Employees (GE</w:t>
      </w:r>
      <w:r w:rsidRPr="00F9134B">
        <w:t>Es</w:t>
      </w:r>
      <w:r w:rsidR="0053444C" w:rsidRPr="00F9134B">
        <w:t>)</w:t>
      </w:r>
      <w:r w:rsidRPr="00F9134B">
        <w:t xml:space="preserve"> in the line ministries, the State Police and INSTAT have appointed a contact person </w:t>
      </w:r>
      <w:r w:rsidR="00DA4E8A" w:rsidRPr="00F9134B">
        <w:t xml:space="preserve">for gender </w:t>
      </w:r>
      <w:proofErr w:type="gramStart"/>
      <w:r w:rsidR="00DA4E8A" w:rsidRPr="00F9134B">
        <w:t xml:space="preserve">equality </w:t>
      </w:r>
      <w:r w:rsidRPr="00F9134B">
        <w:t xml:space="preserve"> (</w:t>
      </w:r>
      <w:proofErr w:type="gramEnd"/>
      <w:r w:rsidRPr="00F9134B">
        <w:t xml:space="preserve">although they have no legal obligation). However, regardless of the title, in some cases the gender equality officer does not have the proper </w:t>
      </w:r>
      <w:r w:rsidR="0051409E" w:rsidRPr="00F9134B">
        <w:t xml:space="preserve">expertise </w:t>
      </w:r>
      <w:r w:rsidRPr="00F9134B">
        <w:t>and / or training to deal with gender issue</w:t>
      </w:r>
      <w:r w:rsidR="00DA4E8A" w:rsidRPr="00F9134B">
        <w:t>s.</w:t>
      </w:r>
      <w:r w:rsidR="00DA4E8A" w:rsidRPr="00F9134B">
        <w:rPr>
          <w:rStyle w:val="FootnoteReference"/>
        </w:rPr>
        <w:footnoteReference w:id="38"/>
      </w:r>
      <w:r w:rsidR="0053444C" w:rsidRPr="00F9134B">
        <w:t xml:space="preserve"> The Ministry for Europe and Foreign Affairs has in its structure a Directory of EU integration and a Directory for the Coordination of National and Regional IPA Plans, reporting directly to the General Secretary. The EU integration directory is composed of 28 staff members and four sub-sectors. It has the largest number of staff compared to all other directories, with the exception of Internal Services Directory. Within the directory there are</w:t>
      </w:r>
      <w:r w:rsidR="0053444C" w:rsidRPr="00F9134B">
        <w:footnoteReference w:id="39"/>
      </w:r>
      <w:r w:rsidR="0053444C" w:rsidRPr="00F9134B">
        <w:t xml:space="preserve">: </w:t>
      </w:r>
    </w:p>
    <w:p w14:paraId="50CF9EC1" w14:textId="77777777" w:rsidR="0053444C" w:rsidRPr="00F9134B" w:rsidRDefault="0053444C" w:rsidP="00F9134B">
      <w:pPr>
        <w:pStyle w:val="ListParagraph"/>
        <w:numPr>
          <w:ilvl w:val="0"/>
          <w:numId w:val="16"/>
        </w:numPr>
        <w:spacing w:before="0" w:beforeAutospacing="0" w:afterAutospacing="0"/>
        <w:rPr>
          <w:rFonts w:ascii="Cambria" w:eastAsia="Times New Roman" w:hAnsi="Cambria" w:cs="Arial"/>
        </w:rPr>
      </w:pPr>
      <w:r w:rsidRPr="00F9134B">
        <w:rPr>
          <w:rFonts w:ascii="Cambria" w:eastAsia="Times New Roman" w:hAnsi="Cambria" w:cs="Arial"/>
        </w:rPr>
        <w:t>Sector of Political dialogue</w:t>
      </w:r>
    </w:p>
    <w:p w14:paraId="480A2642" w14:textId="77777777" w:rsidR="0053444C" w:rsidRPr="00F9134B" w:rsidRDefault="0053444C" w:rsidP="00F9134B">
      <w:pPr>
        <w:pStyle w:val="ListParagraph"/>
        <w:numPr>
          <w:ilvl w:val="0"/>
          <w:numId w:val="16"/>
        </w:numPr>
        <w:spacing w:before="0" w:beforeAutospacing="0" w:afterAutospacing="0"/>
        <w:rPr>
          <w:rFonts w:ascii="Cambria" w:eastAsia="Times New Roman" w:hAnsi="Cambria" w:cs="Arial"/>
        </w:rPr>
      </w:pPr>
      <w:r w:rsidRPr="00F9134B">
        <w:rPr>
          <w:rFonts w:ascii="Cambria" w:eastAsia="Times New Roman" w:hAnsi="Cambria" w:cs="Arial"/>
        </w:rPr>
        <w:t>Sector of Justice and Internal Issues</w:t>
      </w:r>
    </w:p>
    <w:p w14:paraId="486A8B24" w14:textId="77777777" w:rsidR="0053444C" w:rsidRPr="00F9134B" w:rsidRDefault="0053444C" w:rsidP="00F9134B">
      <w:pPr>
        <w:pStyle w:val="ListParagraph"/>
        <w:numPr>
          <w:ilvl w:val="0"/>
          <w:numId w:val="16"/>
        </w:numPr>
        <w:spacing w:before="0" w:beforeAutospacing="0" w:afterAutospacing="0"/>
        <w:rPr>
          <w:rFonts w:ascii="Cambria" w:eastAsia="Times New Roman" w:hAnsi="Cambria" w:cs="Arial"/>
        </w:rPr>
      </w:pPr>
      <w:r w:rsidRPr="00F9134B">
        <w:rPr>
          <w:rFonts w:ascii="Cambria" w:eastAsia="Times New Roman" w:hAnsi="Cambria" w:cs="Arial"/>
        </w:rPr>
        <w:lastRenderedPageBreak/>
        <w:t xml:space="preserve"> Sector of Sectoral Policies </w:t>
      </w:r>
    </w:p>
    <w:p w14:paraId="3A68C3C3" w14:textId="77777777" w:rsidR="0053444C" w:rsidRPr="00F9134B" w:rsidRDefault="0053444C" w:rsidP="00F9134B">
      <w:pPr>
        <w:pStyle w:val="ListParagraph"/>
        <w:numPr>
          <w:ilvl w:val="0"/>
          <w:numId w:val="16"/>
        </w:numPr>
        <w:spacing w:before="0" w:beforeAutospacing="0" w:afterAutospacing="0"/>
        <w:rPr>
          <w:rFonts w:ascii="Cambria" w:eastAsia="Times New Roman" w:hAnsi="Cambria" w:cs="Arial"/>
        </w:rPr>
      </w:pPr>
      <w:r w:rsidRPr="00F9134B">
        <w:rPr>
          <w:rFonts w:ascii="Cambria" w:eastAsia="Times New Roman" w:hAnsi="Cambria" w:cs="Arial"/>
        </w:rPr>
        <w:t>Sector of market, social policies and structural reforms</w:t>
      </w:r>
    </w:p>
    <w:p w14:paraId="602AE7F4" w14:textId="77777777" w:rsidR="0053444C" w:rsidRPr="00F9134B" w:rsidRDefault="0053444C" w:rsidP="00F9134B">
      <w:pPr>
        <w:pStyle w:val="ListParagraph"/>
        <w:numPr>
          <w:ilvl w:val="0"/>
          <w:numId w:val="16"/>
        </w:numPr>
        <w:spacing w:before="0" w:beforeAutospacing="0" w:afterAutospacing="0"/>
        <w:rPr>
          <w:rFonts w:ascii="Cambria" w:eastAsia="Times New Roman" w:hAnsi="Cambria" w:cs="Arial"/>
        </w:rPr>
      </w:pPr>
      <w:r w:rsidRPr="00F9134B">
        <w:rPr>
          <w:rFonts w:ascii="Cambria" w:eastAsia="Times New Roman" w:hAnsi="Cambria" w:cs="Arial"/>
        </w:rPr>
        <w:t>Sector of environment, agriculture, food security and fisheries</w:t>
      </w:r>
    </w:p>
    <w:p w14:paraId="69116CDB" w14:textId="77777777" w:rsidR="0053444C" w:rsidRPr="00F9134B" w:rsidRDefault="0053444C" w:rsidP="00F9134B">
      <w:pPr>
        <w:pStyle w:val="ListParagraph"/>
        <w:numPr>
          <w:ilvl w:val="0"/>
          <w:numId w:val="16"/>
        </w:numPr>
        <w:spacing w:before="0" w:beforeAutospacing="0" w:afterAutospacing="0"/>
        <w:rPr>
          <w:rFonts w:ascii="Cambria" w:eastAsia="Times New Roman" w:hAnsi="Cambria" w:cs="Arial"/>
        </w:rPr>
      </w:pPr>
      <w:r w:rsidRPr="00F9134B">
        <w:rPr>
          <w:rFonts w:ascii="Cambria" w:eastAsia="Times New Roman" w:hAnsi="Cambria" w:cs="Arial"/>
        </w:rPr>
        <w:t xml:space="preserve">Translation </w:t>
      </w:r>
    </w:p>
    <w:p w14:paraId="65BD92A2" w14:textId="77777777" w:rsidR="00DA4E8A" w:rsidRPr="00F9134B" w:rsidRDefault="00DA4E8A" w:rsidP="00F9134B">
      <w:pPr>
        <w:spacing w:before="0" w:beforeAutospacing="0" w:after="0" w:afterAutospacing="0"/>
      </w:pPr>
    </w:p>
    <w:p w14:paraId="28A07301" w14:textId="12E7E80A" w:rsidR="1FF48150" w:rsidRPr="00F9134B" w:rsidRDefault="0053444C" w:rsidP="00F9134B">
      <w:pPr>
        <w:spacing w:before="0" w:beforeAutospacing="0" w:after="0" w:afterAutospacing="0"/>
      </w:pPr>
      <w:r w:rsidRPr="00F9134B">
        <w:t xml:space="preserve">The Directory for IPA plans has 12 staff members working on IPA planning, monitoring and regional programs. To our knowledge the gender focal point in this ministry is part of the Directory of International Organizations. It was not possible to determine whether other staff members have gender expertise and to what extent as the information is not public and the 2021 report of the School of Public Administration does not list any specific training on gender equality for this year. </w:t>
      </w:r>
    </w:p>
    <w:p w14:paraId="6AE4E48F" w14:textId="4AA58E8C" w:rsidR="1FF48150" w:rsidRPr="00F9134B" w:rsidRDefault="00DA4E8A" w:rsidP="00F9134B">
      <w:pPr>
        <w:spacing w:before="0" w:beforeAutospacing="0" w:after="0" w:afterAutospacing="0"/>
        <w:rPr>
          <w:rFonts w:cs="Arial"/>
        </w:rPr>
      </w:pPr>
      <w:r w:rsidRPr="00F9134B">
        <w:rPr>
          <w:rFonts w:cs="Arial"/>
        </w:rPr>
        <w:t xml:space="preserve">The </w:t>
      </w:r>
      <w:r w:rsidR="00921597" w:rsidRPr="00F9134B">
        <w:rPr>
          <w:rFonts w:cs="Arial"/>
        </w:rPr>
        <w:t xml:space="preserve">Albanian School of Public Administration (ASPA), in cooperation with MHSP, coordinates actions for continuous training </w:t>
      </w:r>
      <w:r w:rsidR="00155255" w:rsidRPr="00F9134B">
        <w:rPr>
          <w:rFonts w:cs="Arial"/>
        </w:rPr>
        <w:t>for</w:t>
      </w:r>
      <w:r w:rsidR="00921597" w:rsidRPr="00F9134B">
        <w:rPr>
          <w:rFonts w:cs="Arial"/>
        </w:rPr>
        <w:t xml:space="preserve"> Gender Equality Officers at the central level. They are trained regularly on an annual basis. </w:t>
      </w:r>
    </w:p>
    <w:p w14:paraId="4C5A7E7B" w14:textId="77777777" w:rsidR="00DA4E8A" w:rsidRPr="00F9134B" w:rsidRDefault="00DA4E8A" w:rsidP="00F9134B">
      <w:pPr>
        <w:spacing w:before="0" w:beforeAutospacing="0" w:after="0" w:afterAutospacing="0"/>
        <w:rPr>
          <w:rFonts w:cs="Arial"/>
        </w:rPr>
      </w:pPr>
    </w:p>
    <w:p w14:paraId="02D0220E" w14:textId="5AC3C2F1" w:rsidR="00134581" w:rsidRPr="00F9134B" w:rsidRDefault="00C16244" w:rsidP="00F9134B">
      <w:pPr>
        <w:spacing w:before="0" w:beforeAutospacing="0" w:after="0" w:afterAutospacing="0"/>
        <w:rPr>
          <w:rFonts w:cs="Arial"/>
        </w:rPr>
      </w:pPr>
      <w:r w:rsidRPr="00F9134B">
        <w:rPr>
          <w:rFonts w:cs="Arial"/>
        </w:rPr>
        <w:t xml:space="preserve">Regarding expertise within the national statistical office, in addition to the gender focal point, INSTAT has now full ownership of the Women and Men publication and the generation of sex-disaggregated data. The office collaborates closely with other institutions and UN agencies for the production of </w:t>
      </w:r>
      <w:r w:rsidR="00DA4E8A" w:rsidRPr="00F9134B">
        <w:rPr>
          <w:rFonts w:cs="Arial"/>
        </w:rPr>
        <w:t xml:space="preserve">sex-disaggregated </w:t>
      </w:r>
      <w:r w:rsidRPr="00F9134B">
        <w:rPr>
          <w:rFonts w:cs="Arial"/>
        </w:rPr>
        <w:t>data. In addition, INSTAT has also published over the years reports on gender equality issues, such as the 2018 national population survey on violence against women and is currently in preparation for the Time Use Survey. Therefore, there is gender expertise within the institution</w:t>
      </w:r>
      <w:r w:rsidR="00134581" w:rsidRPr="00F9134B">
        <w:rPr>
          <w:rFonts w:cs="Arial"/>
        </w:rPr>
        <w:t xml:space="preserve">, and collaboration with other international organizations, which support its capacity development. </w:t>
      </w:r>
    </w:p>
    <w:p w14:paraId="18CE3C6B" w14:textId="77777777" w:rsidR="00134581" w:rsidRPr="00F9134B" w:rsidRDefault="00134581" w:rsidP="00F9134B">
      <w:pPr>
        <w:spacing w:before="0" w:beforeAutospacing="0" w:after="0" w:afterAutospacing="0"/>
        <w:jc w:val="left"/>
        <w:rPr>
          <w:rFonts w:cs="Arial"/>
        </w:rPr>
      </w:pPr>
    </w:p>
    <w:p w14:paraId="05FC2F15" w14:textId="77777777" w:rsidR="00921597" w:rsidRPr="00F9134B" w:rsidRDefault="00921597" w:rsidP="00F9134B">
      <w:pPr>
        <w:spacing w:before="0" w:beforeAutospacing="0" w:after="0" w:afterAutospacing="0"/>
        <w:jc w:val="left"/>
        <w:rPr>
          <w:rFonts w:cs="Arial"/>
        </w:rPr>
      </w:pPr>
    </w:p>
    <w:p w14:paraId="36A6EA9B" w14:textId="77777777" w:rsidR="00A31EFF" w:rsidRPr="00F9134B" w:rsidRDefault="00A31EFF" w:rsidP="00F9134B">
      <w:pPr>
        <w:pBdr>
          <w:top w:val="single" w:sz="24" w:space="0" w:color="003152"/>
          <w:left w:val="single" w:sz="24" w:space="0" w:color="003152"/>
          <w:bottom w:val="single" w:sz="24" w:space="0" w:color="003152"/>
          <w:right w:val="single" w:sz="24" w:space="0" w:color="003152"/>
        </w:pBdr>
        <w:shd w:val="clear" w:color="auto" w:fill="003152"/>
        <w:spacing w:before="0" w:beforeAutospacing="0" w:after="0" w:afterAutospacing="0"/>
        <w:jc w:val="left"/>
        <w:outlineLvl w:val="0"/>
        <w:rPr>
          <w:rFonts w:cs="Arial"/>
          <w:b/>
          <w:bCs/>
          <w:caps/>
          <w:color w:val="FFFFFF"/>
          <w:spacing w:val="15"/>
        </w:rPr>
      </w:pPr>
      <w:r w:rsidRPr="00F9134B">
        <w:rPr>
          <w:rFonts w:cs="Arial"/>
          <w:b/>
          <w:bCs/>
          <w:caps/>
          <w:color w:val="FFFFFF"/>
          <w:spacing w:val="15"/>
        </w:rPr>
        <w:t xml:space="preserve">Conclusion </w:t>
      </w:r>
    </w:p>
    <w:p w14:paraId="2E2D06A2" w14:textId="77777777" w:rsidR="009C679B" w:rsidRPr="00F9134B" w:rsidRDefault="00C16244" w:rsidP="00F9134B">
      <w:pPr>
        <w:spacing w:before="0" w:beforeAutospacing="0" w:after="0" w:afterAutospacing="0"/>
      </w:pPr>
      <w:r w:rsidRPr="00F9134B">
        <w:t xml:space="preserve"> </w:t>
      </w:r>
    </w:p>
    <w:p w14:paraId="70A53E8B" w14:textId="0D1875E2" w:rsidR="009C679B" w:rsidRPr="00F9134B" w:rsidRDefault="009C679B" w:rsidP="00F9134B">
      <w:pPr>
        <w:spacing w:before="0" w:beforeAutospacing="0" w:after="0" w:afterAutospacing="0"/>
      </w:pPr>
      <w:r w:rsidRPr="00F9134B">
        <w:t xml:space="preserve">This analysis aimed to provide an overview of the meaningful inclusion of gender equality in EU integration processes along 10 criteria. From the perspective of the role and engagement of the EU Delegation to Albania, an analysis of the reports, strategic documents, and processes for inclusion of women’s civil society organizations in dialogue, the assessment shows that while gender equality issues are present, there is space to issue more targeted recommendations and engage WCSOs more strategically and regularly. </w:t>
      </w:r>
    </w:p>
    <w:p w14:paraId="35807F1A" w14:textId="77777777" w:rsidR="00DA4E8A" w:rsidRPr="00F9134B" w:rsidRDefault="00DA4E8A" w:rsidP="00F9134B">
      <w:pPr>
        <w:spacing w:before="0" w:beforeAutospacing="0" w:after="0" w:afterAutospacing="0"/>
      </w:pPr>
    </w:p>
    <w:p w14:paraId="2957D8ED" w14:textId="112ABB21" w:rsidR="00C16244" w:rsidRPr="00F9134B" w:rsidRDefault="00C16244" w:rsidP="00F9134B">
      <w:pPr>
        <w:spacing w:before="0" w:beforeAutospacing="0" w:after="0" w:afterAutospacing="0"/>
      </w:pPr>
      <w:r w:rsidRPr="00F9134B">
        <w:t>T</w:t>
      </w:r>
      <w:r w:rsidR="0011558A" w:rsidRPr="00F9134B">
        <w:t xml:space="preserve">he </w:t>
      </w:r>
      <w:r w:rsidRPr="00F9134B">
        <w:t xml:space="preserve">2021 </w:t>
      </w:r>
      <w:r w:rsidR="0011558A" w:rsidRPr="00F9134B">
        <w:t>EC Country</w:t>
      </w:r>
      <w:r w:rsidR="00A53A8B" w:rsidRPr="00F9134B">
        <w:t xml:space="preserve"> report for Albania, </w:t>
      </w:r>
      <w:r w:rsidR="009C679B" w:rsidRPr="00F9134B">
        <w:t xml:space="preserve">mentions gender equality throughout the text, however there is only one </w:t>
      </w:r>
      <w:r w:rsidR="00DA4E8A" w:rsidRPr="00F9134B">
        <w:t xml:space="preserve">official </w:t>
      </w:r>
      <w:r w:rsidR="009C679B" w:rsidRPr="00F9134B">
        <w:t xml:space="preserve">recommendation </w:t>
      </w:r>
      <w:r w:rsidR="00DA4E8A" w:rsidRPr="00F9134B">
        <w:t xml:space="preserve">included in Chapter 28 in relation to access to health and services </w:t>
      </w:r>
      <w:r w:rsidR="009C679B" w:rsidRPr="00F9134B">
        <w:t>where women are</w:t>
      </w:r>
      <w:r w:rsidR="00DA4E8A" w:rsidRPr="00F9134B">
        <w:t xml:space="preserve"> explicitly</w:t>
      </w:r>
      <w:r w:rsidR="009C679B" w:rsidRPr="00F9134B">
        <w:t xml:space="preserve"> mentioned, unlike the 2020 Report which contained two official recommendations related to gender equality</w:t>
      </w:r>
      <w:r w:rsidR="00DA4E8A" w:rsidRPr="00F9134B">
        <w:t xml:space="preserve">. </w:t>
      </w:r>
      <w:r w:rsidRPr="00F9134B">
        <w:t xml:space="preserve">There is thus more space to make the EC </w:t>
      </w:r>
      <w:r w:rsidR="00E72C7D" w:rsidRPr="00F9134B">
        <w:t>country report</w:t>
      </w:r>
      <w:r w:rsidRPr="00F9134B">
        <w:t xml:space="preserve"> more accurately gender mainstreamed and to </w:t>
      </w:r>
      <w:r w:rsidR="00E72C7D" w:rsidRPr="00F9134B">
        <w:t>include recommendations</w:t>
      </w:r>
      <w:r w:rsidRPr="00F9134B">
        <w:t xml:space="preserve"> and gender-disaggregated data. Draft annual reports are shared with WCSOs and usually the EC conducts consultations with various CSOs. Comments and recommendations issued by these organizations are sometimes integrated in the final version of the report. </w:t>
      </w:r>
    </w:p>
    <w:p w14:paraId="53D43D73" w14:textId="761A6FF9" w:rsidR="00C16244" w:rsidRPr="00F9134B" w:rsidRDefault="00C16244" w:rsidP="00F9134B">
      <w:pPr>
        <w:spacing w:before="0" w:beforeAutospacing="0" w:after="0" w:afterAutospacing="0"/>
      </w:pPr>
    </w:p>
    <w:p w14:paraId="4DA278A1" w14:textId="40D5CB3D" w:rsidR="00240752" w:rsidRPr="00F9134B" w:rsidRDefault="00C16244" w:rsidP="00F9134B">
      <w:pPr>
        <w:spacing w:before="0" w:beforeAutospacing="0" w:after="0" w:afterAutospacing="0"/>
      </w:pPr>
      <w:r w:rsidRPr="00F9134B">
        <w:t xml:space="preserve">The EU Delegation in Albania has an established gender focal point and there is good communication and collaboration with other stakeholders, including government institutions, national human rights institutions and WCSOs on gender equality issues. </w:t>
      </w:r>
    </w:p>
    <w:p w14:paraId="64E2BDE5" w14:textId="77777777" w:rsidR="00DA4E8A" w:rsidRPr="00F9134B" w:rsidRDefault="00DA4E8A" w:rsidP="00F9134B">
      <w:pPr>
        <w:spacing w:before="0" w:beforeAutospacing="0" w:after="0" w:afterAutospacing="0"/>
      </w:pPr>
    </w:p>
    <w:p w14:paraId="1A427B88" w14:textId="699BF91E" w:rsidR="00240752" w:rsidRPr="00F9134B" w:rsidRDefault="00240752" w:rsidP="00F9134B">
      <w:pPr>
        <w:spacing w:before="0" w:beforeAutospacing="0" w:after="0" w:afterAutospacing="0"/>
      </w:pPr>
      <w:r w:rsidRPr="00F9134B">
        <w:t xml:space="preserve">The five new IPA III Action Documents are all marked with a DAC-GM score 1. All ADs contain a section on Gender Mainstreaming; however, this approach is not consistent throughout the rest of the document. Therefore, none of the documents fulfils all the criteria to receive such a score. For </w:t>
      </w:r>
      <w:r w:rsidRPr="00F9134B">
        <w:lastRenderedPageBreak/>
        <w:t xml:space="preserve">instance, some ADs lack outputs and indicators on gender equality and disaggregated data, some ADs do not include gender considerations in their context and problem analysis or even though activities on gender equality are mentioned in the gender mainstreaming section, they are not described further in the description of the action. </w:t>
      </w:r>
    </w:p>
    <w:p w14:paraId="1FB0E890" w14:textId="77777777" w:rsidR="00DA4E8A" w:rsidRPr="00F9134B" w:rsidRDefault="00DA4E8A" w:rsidP="00F9134B">
      <w:pPr>
        <w:spacing w:before="0" w:beforeAutospacing="0" w:after="0" w:afterAutospacing="0"/>
      </w:pPr>
    </w:p>
    <w:p w14:paraId="22C554A5" w14:textId="630826B2" w:rsidR="00240752" w:rsidRPr="00F9134B" w:rsidRDefault="00240752" w:rsidP="00F9134B">
      <w:pPr>
        <w:spacing w:before="0" w:beforeAutospacing="0" w:after="0" w:afterAutospacing="0"/>
      </w:pPr>
      <w:r w:rsidRPr="00F9134B">
        <w:t xml:space="preserve">Regarding inclusion of WCSOs in integration processes and dialogue, there is more </w:t>
      </w:r>
      <w:proofErr w:type="gramStart"/>
      <w:r w:rsidRPr="00F9134B">
        <w:t>space  for</w:t>
      </w:r>
      <w:proofErr w:type="gramEnd"/>
      <w:r w:rsidRPr="00F9134B">
        <w:t xml:space="preserve"> sharing information and including CSOs in accession processes, especially in relation to SAA committee and sub-committee meetings. </w:t>
      </w:r>
      <w:r w:rsidR="00DA4E8A" w:rsidRPr="00F9134B">
        <w:t>T</w:t>
      </w:r>
      <w:r w:rsidRPr="00F9134B">
        <w:t>he report was unable to make an informed assessment o</w:t>
      </w:r>
      <w:r w:rsidR="00DA4E8A" w:rsidRPr="00F9134B">
        <w:t>n</w:t>
      </w:r>
      <w:r w:rsidRPr="00F9134B">
        <w:t xml:space="preserve"> the inclusion of gender equality issues in SAA committee and sub-committee meetings due to the inaccessibility of such information and the analysis shows that WCSOs are not regularly consulted. There should be an established and official mechanism for inviting and engaging WCSOs prior, during and after SAA committee and sub-committee meetings. In addition, while the ministry responsible for EU integration has a dedicated section in its website for EU integration, not all relevant documents are published. For instance, while there were brief meeting notes available on sub-committee meetings, agendas are not public, and a list of key priorities discussed, and action points are not available. </w:t>
      </w:r>
    </w:p>
    <w:p w14:paraId="074CFD7C" w14:textId="77777777" w:rsidR="00240752" w:rsidRPr="00F9134B" w:rsidRDefault="00240752" w:rsidP="00F9134B">
      <w:pPr>
        <w:spacing w:before="0" w:beforeAutospacing="0" w:after="0" w:afterAutospacing="0"/>
      </w:pPr>
    </w:p>
    <w:p w14:paraId="2FA532B9" w14:textId="77777777" w:rsidR="00240752" w:rsidRPr="00F9134B" w:rsidRDefault="00240752" w:rsidP="00F9134B">
      <w:pPr>
        <w:spacing w:before="0" w:beforeAutospacing="0" w:after="0" w:afterAutospacing="0"/>
      </w:pPr>
      <w:r w:rsidRPr="00F9134B">
        <w:t xml:space="preserve">Regarding gender expertise within government bodies, there is commitment to integrate a gender perspective at local and central level, as each ministry and the majority of local government units have in place gender focal points. While training sessions are often conducted on gender equality issues as the Country Gender Equality Brief shows, the presence of expertise is hampered by staff turnover and overburdening of staff with other duties. Therefore, there is a need to strengthen the network of gender focal points as key resource persons to be included in accession processes when gender equality is concerned. The ministry responsible for EU integration has two large departments dedicated to EU integration and management of IPA plans, however this report could not conclude whether there is gender expertise within these departments and an analysis of the 2021 Annual Report of the Department of Public Administration does not mention any gender equality training conducted. </w:t>
      </w:r>
    </w:p>
    <w:p w14:paraId="7BE91A5C" w14:textId="4AC163A3" w:rsidR="00C16244" w:rsidRPr="00F9134B" w:rsidRDefault="00C16244" w:rsidP="00F9134B">
      <w:pPr>
        <w:spacing w:before="0" w:beforeAutospacing="0" w:after="0" w:afterAutospacing="0"/>
      </w:pPr>
    </w:p>
    <w:p w14:paraId="19BA8052" w14:textId="52697381" w:rsidR="1FF48150" w:rsidRPr="00F9134B" w:rsidRDefault="1FF48150" w:rsidP="00F9134B">
      <w:pPr>
        <w:spacing w:before="0" w:beforeAutospacing="0" w:after="0" w:afterAutospacing="0"/>
      </w:pPr>
    </w:p>
    <w:p w14:paraId="1569D712" w14:textId="77777777" w:rsidR="00240752" w:rsidRPr="00F9134B" w:rsidRDefault="00C16244" w:rsidP="00F9134B">
      <w:pPr>
        <w:spacing w:before="0" w:beforeAutospacing="0" w:after="0" w:afterAutospacing="0"/>
      </w:pPr>
      <w:r w:rsidRPr="00F9134B">
        <w:t xml:space="preserve">There are a satisfactory number of resources produced on gender equality, such as country gender profiles, sectoral gender analyses, gender equality index, collection, and publication of gender disaggregated data on a yearly basis, and other reports produced by EUD, the government and other entities. These data, reports and analysis are an important resource that could be used more widely in the preparation of the country reports as well as to inform IPA projects. </w:t>
      </w:r>
      <w:r w:rsidR="00240752" w:rsidRPr="00F9134B">
        <w:t xml:space="preserve">However, many of the data subject to this analysis were neither publicly available nor accessible, including information about the SAA sub-committee minutes meetings and sector working groups. Therefore, there is a need for more transparency in these procedures and regular publication of all relevant documentation on EU integration. </w:t>
      </w:r>
    </w:p>
    <w:p w14:paraId="3260E3BD" w14:textId="77777777" w:rsidR="002D53DE" w:rsidRPr="00F9134B" w:rsidRDefault="002D53DE" w:rsidP="00F9134B">
      <w:pPr>
        <w:spacing w:before="0" w:beforeAutospacing="0" w:after="0" w:afterAutospacing="0"/>
      </w:pPr>
    </w:p>
    <w:p w14:paraId="4A0DA7EB" w14:textId="77777777" w:rsidR="00A31EFF" w:rsidRPr="00F9134B" w:rsidRDefault="00A31EFF" w:rsidP="00F9134B">
      <w:pPr>
        <w:pBdr>
          <w:top w:val="single" w:sz="24" w:space="0" w:color="003152"/>
          <w:left w:val="single" w:sz="24" w:space="0" w:color="003152"/>
          <w:bottom w:val="single" w:sz="24" w:space="0" w:color="003152"/>
          <w:right w:val="single" w:sz="24" w:space="0" w:color="003152"/>
        </w:pBdr>
        <w:shd w:val="clear" w:color="auto" w:fill="003152"/>
        <w:spacing w:before="0" w:beforeAutospacing="0" w:after="0" w:afterAutospacing="0"/>
        <w:jc w:val="left"/>
        <w:outlineLvl w:val="0"/>
        <w:rPr>
          <w:rFonts w:cs="Arial"/>
          <w:b/>
          <w:bCs/>
          <w:caps/>
          <w:color w:val="FFFFFF"/>
          <w:spacing w:val="15"/>
        </w:rPr>
      </w:pPr>
      <w:r w:rsidRPr="00F9134B">
        <w:rPr>
          <w:rFonts w:cs="Arial"/>
          <w:b/>
          <w:bCs/>
          <w:caps/>
          <w:color w:val="FFFFFF"/>
          <w:spacing w:val="15"/>
        </w:rPr>
        <w:t xml:space="preserve">Recommendations </w:t>
      </w:r>
    </w:p>
    <w:p w14:paraId="08EFCF8C" w14:textId="77777777" w:rsidR="0011558A" w:rsidRPr="00F9134B" w:rsidRDefault="0011558A" w:rsidP="00F9134B">
      <w:pPr>
        <w:spacing w:before="0" w:beforeAutospacing="0" w:after="0" w:afterAutospacing="0"/>
        <w:jc w:val="left"/>
      </w:pPr>
    </w:p>
    <w:p w14:paraId="72F9D3EC" w14:textId="77777777" w:rsidR="00E85718" w:rsidRPr="00F9134B" w:rsidRDefault="0011558A" w:rsidP="00F9134B">
      <w:pPr>
        <w:spacing w:before="0" w:beforeAutospacing="0" w:after="0" w:afterAutospacing="0"/>
        <w:rPr>
          <w:b/>
          <w:u w:val="single"/>
        </w:rPr>
      </w:pPr>
      <w:r w:rsidRPr="00F9134B">
        <w:rPr>
          <w:b/>
          <w:u w:val="single"/>
        </w:rPr>
        <w:t>Recommendations towards EU:</w:t>
      </w:r>
    </w:p>
    <w:p w14:paraId="7543E90F" w14:textId="78185068" w:rsidR="00E85718" w:rsidRPr="00F9134B" w:rsidRDefault="0011558A" w:rsidP="00F9134B">
      <w:pPr>
        <w:numPr>
          <w:ilvl w:val="0"/>
          <w:numId w:val="14"/>
        </w:numPr>
        <w:spacing w:before="0" w:beforeAutospacing="0" w:after="0" w:afterAutospacing="0"/>
        <w:rPr>
          <w:b/>
          <w:bCs/>
          <w:u w:val="single"/>
        </w:rPr>
      </w:pPr>
      <w:r w:rsidRPr="00F9134B">
        <w:t xml:space="preserve">Continue the efforts for gender mainstreaming the </w:t>
      </w:r>
      <w:r w:rsidR="00793C5F" w:rsidRPr="00F9134B">
        <w:t>Albania</w:t>
      </w:r>
      <w:r w:rsidRPr="00F9134B">
        <w:t xml:space="preserve"> Reports by including gender perspectives and gender disaggregated data in chapters other than </w:t>
      </w:r>
      <w:r w:rsidR="00793C5F" w:rsidRPr="00F9134B">
        <w:t xml:space="preserve">18, </w:t>
      </w:r>
      <w:r w:rsidRPr="00F9134B">
        <w:t>19</w:t>
      </w:r>
      <w:r w:rsidR="00793C5F" w:rsidRPr="00F9134B">
        <w:t xml:space="preserve"> and </w:t>
      </w:r>
      <w:r w:rsidRPr="00F9134B">
        <w:t>23;</w:t>
      </w:r>
    </w:p>
    <w:p w14:paraId="4950ED0B" w14:textId="77777777" w:rsidR="00E85718" w:rsidRPr="00F9134B" w:rsidRDefault="0011558A" w:rsidP="00F9134B">
      <w:pPr>
        <w:numPr>
          <w:ilvl w:val="0"/>
          <w:numId w:val="14"/>
        </w:numPr>
        <w:spacing w:before="0" w:beforeAutospacing="0" w:after="0" w:afterAutospacing="0"/>
        <w:rPr>
          <w:b/>
          <w:u w:val="single"/>
        </w:rPr>
      </w:pPr>
      <w:r w:rsidRPr="00F9134B">
        <w:t xml:space="preserve">Continue and further advance the dialogue and meaningful and structured involvement of WCSOs in the different EU Accession processes (not limited to ongoing consultations), including the preparatory meetings for SAA Sub-Committee meetings. </w:t>
      </w:r>
    </w:p>
    <w:p w14:paraId="3991929F" w14:textId="0CC5CFC9" w:rsidR="00E85718" w:rsidRPr="00F9134B" w:rsidRDefault="00292E9B" w:rsidP="00F9134B">
      <w:pPr>
        <w:numPr>
          <w:ilvl w:val="0"/>
          <w:numId w:val="14"/>
        </w:numPr>
        <w:spacing w:before="0" w:beforeAutospacing="0" w:after="0" w:afterAutospacing="0"/>
        <w:rPr>
          <w:b/>
          <w:bCs/>
          <w:u w:val="single"/>
        </w:rPr>
      </w:pPr>
      <w:r w:rsidRPr="00F9134B">
        <w:lastRenderedPageBreak/>
        <w:t>Strengthen the</w:t>
      </w:r>
      <w:r w:rsidR="00793C5F" w:rsidRPr="00F9134B">
        <w:t xml:space="preserve"> </w:t>
      </w:r>
      <w:r w:rsidR="00593AE7" w:rsidRPr="00F9134B">
        <w:t>use of</w:t>
      </w:r>
      <w:r w:rsidR="00793C5F" w:rsidRPr="00F9134B">
        <w:t xml:space="preserve"> sex-disaggregated data and gender statistics and require</w:t>
      </w:r>
      <w:r w:rsidR="00150682" w:rsidRPr="00F9134B">
        <w:t xml:space="preserve"> that they are used extensively in preparation of actions, reports and other relevant processes related to EU integration</w:t>
      </w:r>
      <w:r w:rsidR="00793C5F" w:rsidRPr="00F9134B">
        <w:t>.</w:t>
      </w:r>
    </w:p>
    <w:p w14:paraId="20B2AB77" w14:textId="77777777" w:rsidR="00E85718" w:rsidRPr="00F9134B" w:rsidRDefault="00D71B74" w:rsidP="00F9134B">
      <w:pPr>
        <w:numPr>
          <w:ilvl w:val="0"/>
          <w:numId w:val="14"/>
        </w:numPr>
        <w:spacing w:before="0" w:beforeAutospacing="0" w:after="0" w:afterAutospacing="0"/>
        <w:rPr>
          <w:b/>
          <w:u w:val="single"/>
        </w:rPr>
      </w:pPr>
      <w:r w:rsidRPr="00F9134B">
        <w:t>Strengthen</w:t>
      </w:r>
      <w:r w:rsidR="001A39C8" w:rsidRPr="00F9134B">
        <w:t xml:space="preserve"> the capacities of the EUD staff members on gender mainstreaming</w:t>
      </w:r>
      <w:r w:rsidR="005059BD" w:rsidRPr="00F9134B">
        <w:t xml:space="preserve"> including by providing trainings on the use of the Gender marker and on the different staff responsibilities for the implementation of GAP III</w:t>
      </w:r>
      <w:r w:rsidR="00547D98" w:rsidRPr="00F9134B">
        <w:t>.</w:t>
      </w:r>
    </w:p>
    <w:p w14:paraId="0168B592" w14:textId="77777777" w:rsidR="0011558A" w:rsidRPr="00F9134B" w:rsidRDefault="00D71B74" w:rsidP="00F9134B">
      <w:pPr>
        <w:numPr>
          <w:ilvl w:val="0"/>
          <w:numId w:val="14"/>
        </w:numPr>
        <w:spacing w:before="0" w:beforeAutospacing="0" w:after="0" w:afterAutospacing="0"/>
        <w:rPr>
          <w:b/>
          <w:u w:val="single"/>
        </w:rPr>
      </w:pPr>
      <w:r w:rsidRPr="00F9134B">
        <w:t>Appoint</w:t>
      </w:r>
      <w:r w:rsidR="001A39C8" w:rsidRPr="00F9134B">
        <w:t xml:space="preserve"> a </w:t>
      </w:r>
      <w:r w:rsidR="005059BD" w:rsidRPr="00F9134B">
        <w:t xml:space="preserve">full-time </w:t>
      </w:r>
      <w:r w:rsidR="001A39C8" w:rsidRPr="00F9134B">
        <w:t xml:space="preserve">Gender focal point </w:t>
      </w:r>
      <w:r w:rsidRPr="00F9134B">
        <w:t xml:space="preserve">with clear duties and responsibilities </w:t>
      </w:r>
      <w:r w:rsidR="005059BD" w:rsidRPr="00F9134B">
        <w:t xml:space="preserve">listed in the job description </w:t>
      </w:r>
    </w:p>
    <w:p w14:paraId="290A6481" w14:textId="77777777" w:rsidR="00547D98" w:rsidRPr="00F9134B" w:rsidRDefault="00547D98" w:rsidP="00F9134B">
      <w:pPr>
        <w:spacing w:before="0" w:beforeAutospacing="0" w:after="0" w:afterAutospacing="0"/>
        <w:rPr>
          <w:b/>
          <w:u w:val="single"/>
        </w:rPr>
      </w:pPr>
    </w:p>
    <w:p w14:paraId="0EBE60C4" w14:textId="77777777" w:rsidR="00E85718" w:rsidRPr="00F9134B" w:rsidRDefault="0011558A" w:rsidP="00F9134B">
      <w:pPr>
        <w:spacing w:before="0" w:beforeAutospacing="0" w:after="0" w:afterAutospacing="0"/>
        <w:rPr>
          <w:b/>
        </w:rPr>
      </w:pPr>
      <w:r w:rsidRPr="00F9134B">
        <w:rPr>
          <w:b/>
          <w:u w:val="single"/>
        </w:rPr>
        <w:t>Recommendations towards national government / bodies:</w:t>
      </w:r>
    </w:p>
    <w:p w14:paraId="3892EB26" w14:textId="77777777" w:rsidR="00E85718" w:rsidRPr="00F9134B" w:rsidRDefault="0011558A" w:rsidP="00F9134B">
      <w:pPr>
        <w:numPr>
          <w:ilvl w:val="0"/>
          <w:numId w:val="15"/>
        </w:numPr>
        <w:spacing w:before="0" w:beforeAutospacing="0" w:after="0" w:afterAutospacing="0"/>
        <w:rPr>
          <w:b/>
        </w:rPr>
      </w:pPr>
      <w:r w:rsidRPr="00F9134B">
        <w:t>Involve WCSOs in a meaningful and structured manner</w:t>
      </w:r>
      <w:r w:rsidR="005059BD" w:rsidRPr="00F9134B">
        <w:t xml:space="preserve"> in consultations for the drafting of new laws and policies</w:t>
      </w:r>
      <w:r w:rsidRPr="00F9134B">
        <w:t>, as a prerequisite for furthering gender equality in the country and acknowledgment of their expertise and work;</w:t>
      </w:r>
    </w:p>
    <w:p w14:paraId="7753EBE1" w14:textId="2EB7BEEB" w:rsidR="00E85718" w:rsidRPr="00F9134B" w:rsidRDefault="0011558A" w:rsidP="00F9134B">
      <w:pPr>
        <w:numPr>
          <w:ilvl w:val="0"/>
          <w:numId w:val="15"/>
        </w:numPr>
        <w:spacing w:before="0" w:beforeAutospacing="0" w:after="0" w:afterAutospacing="0"/>
        <w:rPr>
          <w:b/>
        </w:rPr>
      </w:pPr>
      <w:r w:rsidRPr="00F9134B">
        <w:t xml:space="preserve">Create mechanisms for consultations and information </w:t>
      </w:r>
      <w:r w:rsidR="00793C5F" w:rsidRPr="00F9134B">
        <w:t>sharing to</w:t>
      </w:r>
      <w:r w:rsidRPr="00F9134B">
        <w:t xml:space="preserve"> increase </w:t>
      </w:r>
      <w:r w:rsidR="005059BD" w:rsidRPr="00F9134B">
        <w:t xml:space="preserve">WCSOs’ </w:t>
      </w:r>
      <w:r w:rsidR="00793C5F" w:rsidRPr="00F9134B">
        <w:t>involvement</w:t>
      </w:r>
      <w:r w:rsidRPr="00F9134B">
        <w:t xml:space="preserve"> and monitoring in the ongoing processes related to EU Accession;</w:t>
      </w:r>
    </w:p>
    <w:p w14:paraId="312057E4" w14:textId="77777777" w:rsidR="00593AE7" w:rsidRPr="00F9134B" w:rsidRDefault="00593AE7" w:rsidP="00F9134B">
      <w:pPr>
        <w:numPr>
          <w:ilvl w:val="0"/>
          <w:numId w:val="15"/>
        </w:numPr>
        <w:spacing w:before="0" w:beforeAutospacing="0" w:after="0" w:afterAutospacing="0"/>
        <w:rPr>
          <w:b/>
          <w:bCs/>
          <w:u w:val="single"/>
        </w:rPr>
      </w:pPr>
      <w:r w:rsidRPr="00F9134B">
        <w:t>Publish gender sectorial analyses, including the main sectors of the National Strategy for Development and Integration as per the EU Gender Action Plan III</w:t>
      </w:r>
      <w:r w:rsidRPr="00F9134B">
        <w:rPr>
          <w:b/>
          <w:bCs/>
          <w:u w:val="single"/>
        </w:rPr>
        <w:t>.</w:t>
      </w:r>
    </w:p>
    <w:p w14:paraId="698CFB71" w14:textId="77777777" w:rsidR="00E85718" w:rsidRPr="00F9134B" w:rsidRDefault="0011558A" w:rsidP="00F9134B">
      <w:pPr>
        <w:numPr>
          <w:ilvl w:val="0"/>
          <w:numId w:val="15"/>
        </w:numPr>
        <w:spacing w:before="0" w:beforeAutospacing="0" w:after="0" w:afterAutospacing="0"/>
        <w:rPr>
          <w:b/>
        </w:rPr>
      </w:pPr>
      <w:r w:rsidRPr="00F9134B">
        <w:t>Continue with the efforts for mainstreaming gender in IPA Programming, in line with the GAP III and CLIP commitments, as well in the sectoral strategies</w:t>
      </w:r>
      <w:r w:rsidR="00547D98" w:rsidRPr="00F9134B">
        <w:t>;</w:t>
      </w:r>
    </w:p>
    <w:p w14:paraId="6096FCAF" w14:textId="77777777" w:rsidR="00E85718" w:rsidRPr="00F9134B" w:rsidRDefault="005059BD" w:rsidP="00F9134B">
      <w:pPr>
        <w:numPr>
          <w:ilvl w:val="0"/>
          <w:numId w:val="15"/>
        </w:numPr>
        <w:spacing w:before="0" w:beforeAutospacing="0" w:after="0" w:afterAutospacing="0"/>
        <w:rPr>
          <w:b/>
        </w:rPr>
      </w:pPr>
      <w:r w:rsidRPr="00F9134B">
        <w:t>Ensure adequate budget for the implementation of the National Strategy for Gender Equality by t</w:t>
      </w:r>
      <w:r w:rsidR="00C9101A" w:rsidRPr="00F9134B">
        <w:t>he Ministry of Health and Social Protection together with the Ministry of Finance and Economy</w:t>
      </w:r>
      <w:r w:rsidRPr="00F9134B">
        <w:t xml:space="preserve">. </w:t>
      </w:r>
      <w:r w:rsidR="00C9101A" w:rsidRPr="00F9134B">
        <w:t xml:space="preserve">The </w:t>
      </w:r>
      <w:r w:rsidRPr="00F9134B">
        <w:t xml:space="preserve">mentioned </w:t>
      </w:r>
      <w:r w:rsidR="00C9101A" w:rsidRPr="00F9134B">
        <w:t xml:space="preserve">ministry should play a more active role in assisting line ministries so that they </w:t>
      </w:r>
      <w:r w:rsidRPr="00F9134B">
        <w:t xml:space="preserve">contribute to the </w:t>
      </w:r>
      <w:r w:rsidR="00C9101A" w:rsidRPr="00F9134B">
        <w:t>implement</w:t>
      </w:r>
      <w:r w:rsidRPr="00F9134B">
        <w:t>ation of</w:t>
      </w:r>
      <w:r w:rsidR="00C9101A" w:rsidRPr="00F9134B">
        <w:t xml:space="preserve"> gender equality </w:t>
      </w:r>
      <w:r w:rsidRPr="00F9134B">
        <w:t xml:space="preserve">policies and legislation </w:t>
      </w:r>
      <w:r w:rsidR="00C9101A" w:rsidRPr="00F9134B">
        <w:t>in the country;</w:t>
      </w:r>
    </w:p>
    <w:p w14:paraId="1B68AF3A" w14:textId="77777777" w:rsidR="00E85718" w:rsidRPr="00F9134B" w:rsidRDefault="005059BD" w:rsidP="00F9134B">
      <w:pPr>
        <w:numPr>
          <w:ilvl w:val="0"/>
          <w:numId w:val="15"/>
        </w:numPr>
        <w:spacing w:before="0" w:beforeAutospacing="0" w:after="0" w:afterAutospacing="0"/>
        <w:rPr>
          <w:b/>
        </w:rPr>
      </w:pPr>
      <w:r w:rsidRPr="00F9134B">
        <w:t>Ensure adequate support for e</w:t>
      </w:r>
      <w:r w:rsidR="00F9363E" w:rsidRPr="00F9134B">
        <w:t>mployees dealing with gender equality issues in their institutions, ministries or municipalities</w:t>
      </w:r>
      <w:r w:rsidR="00E85718" w:rsidRPr="00F9134B">
        <w:t>;</w:t>
      </w:r>
    </w:p>
    <w:p w14:paraId="1A16FBE5" w14:textId="77777777" w:rsidR="00E85718" w:rsidRPr="00F9134B" w:rsidRDefault="00AC4D51" w:rsidP="00F9134B">
      <w:pPr>
        <w:numPr>
          <w:ilvl w:val="0"/>
          <w:numId w:val="15"/>
        </w:numPr>
        <w:spacing w:before="0" w:beforeAutospacing="0" w:after="0" w:afterAutospacing="0"/>
        <w:rPr>
          <w:b/>
        </w:rPr>
      </w:pPr>
      <w:r w:rsidRPr="00F9134B">
        <w:t xml:space="preserve">Improve systems for collecting </w:t>
      </w:r>
      <w:r w:rsidR="005059BD" w:rsidRPr="00F9134B">
        <w:t>sex-disaggregated data and</w:t>
      </w:r>
      <w:r w:rsidRPr="00F9134B">
        <w:t xml:space="preserve"> statistics, in a wide range of sectors and cross-sectors. </w:t>
      </w:r>
      <w:r w:rsidR="005059BD" w:rsidRPr="00F9134B">
        <w:t>Develop</w:t>
      </w:r>
      <w:r w:rsidRPr="00F9134B">
        <w:t xml:space="preserve"> a user-friendly database that can </w:t>
      </w:r>
      <w:r w:rsidR="00084CBB" w:rsidRPr="00F9134B">
        <w:t>be accessed by</w:t>
      </w:r>
      <w:r w:rsidRPr="00F9134B">
        <w:t xml:space="preserve"> </w:t>
      </w:r>
      <w:r w:rsidR="00084CBB" w:rsidRPr="00F9134B">
        <w:t xml:space="preserve">public administrations, </w:t>
      </w:r>
      <w:r w:rsidRPr="00F9134B">
        <w:t>professionals and researchers</w:t>
      </w:r>
      <w:r w:rsidR="00084CBB" w:rsidRPr="00F9134B">
        <w:t xml:space="preserve"> and to be used </w:t>
      </w:r>
      <w:r w:rsidRPr="00F9134B">
        <w:t>as a basis for decision-making and policy-making</w:t>
      </w:r>
      <w:r w:rsidR="00E85718" w:rsidRPr="00F9134B">
        <w:t>;</w:t>
      </w:r>
    </w:p>
    <w:p w14:paraId="7ECA4007" w14:textId="18E5BF52" w:rsidR="0099695A" w:rsidRPr="00F9134B" w:rsidRDefault="0099695A" w:rsidP="00F9134B">
      <w:pPr>
        <w:numPr>
          <w:ilvl w:val="0"/>
          <w:numId w:val="15"/>
        </w:numPr>
        <w:spacing w:before="0" w:beforeAutospacing="0" w:after="0" w:afterAutospacing="0"/>
        <w:rPr>
          <w:b/>
          <w:bCs/>
        </w:rPr>
      </w:pPr>
      <w:r w:rsidRPr="00F9134B">
        <w:t>Consult women’s organisations for the development of the IPA III Strategic Response</w:t>
      </w:r>
      <w:r w:rsidR="00E85718" w:rsidRPr="00F9134B">
        <w:t>.</w:t>
      </w:r>
    </w:p>
    <w:p w14:paraId="05038415" w14:textId="77777777" w:rsidR="007441E1" w:rsidRPr="00F9134B" w:rsidRDefault="007441E1" w:rsidP="00F9134B">
      <w:pPr>
        <w:pStyle w:val="Heading1"/>
        <w:spacing w:before="0" w:beforeAutospacing="0" w:after="0" w:afterAutospacing="0"/>
        <w:rPr>
          <w:sz w:val="22"/>
        </w:rPr>
      </w:pPr>
      <w:r w:rsidRPr="00F9134B">
        <w:rPr>
          <w:sz w:val="22"/>
        </w:rPr>
        <w:t>Appendixes</w:t>
      </w:r>
    </w:p>
    <w:p w14:paraId="72EECE14" w14:textId="77777777" w:rsidR="007441E1" w:rsidRPr="00F9134B" w:rsidRDefault="007441E1" w:rsidP="00F9134B">
      <w:pPr>
        <w:pStyle w:val="Heading1"/>
        <w:spacing w:before="0" w:beforeAutospacing="0" w:after="0" w:afterAutospacing="0"/>
        <w:rPr>
          <w:sz w:val="22"/>
        </w:rPr>
      </w:pPr>
    </w:p>
    <w:p w14:paraId="4E64CBCB" w14:textId="6E0BB2C9" w:rsidR="00B12F4B" w:rsidRPr="00F9134B" w:rsidRDefault="00B12F4B" w:rsidP="00F9134B">
      <w:pPr>
        <w:pStyle w:val="Heading2"/>
        <w:spacing w:before="0" w:beforeAutospacing="0" w:after="0" w:afterAutospacing="0"/>
        <w:rPr>
          <w:sz w:val="22"/>
          <w:szCs w:val="22"/>
        </w:rPr>
      </w:pPr>
      <w:r w:rsidRPr="00F9134B">
        <w:rPr>
          <w:sz w:val="22"/>
          <w:szCs w:val="22"/>
        </w:rPr>
        <w:t>Appendix 1</w:t>
      </w:r>
    </w:p>
    <w:p w14:paraId="13599BDF" w14:textId="6CEC9ABD" w:rsidR="004A742B" w:rsidRPr="00F9134B" w:rsidRDefault="004A742B" w:rsidP="00F9134B">
      <w:pPr>
        <w:spacing w:before="0" w:beforeAutospacing="0" w:after="0" w:afterAutospacing="0"/>
      </w:pPr>
      <w:r w:rsidRPr="00F9134B">
        <w:t>Thi</w:t>
      </w:r>
      <w:r w:rsidR="009A6287" w:rsidRPr="00F9134B">
        <w:t>s</w:t>
      </w:r>
      <w:r w:rsidRPr="00F9134B">
        <w:t xml:space="preserve"> annex includes a summary </w:t>
      </w:r>
      <w:r w:rsidR="009A6287" w:rsidRPr="00F9134B">
        <w:t>about the gender mainstreaming of the actions</w:t>
      </w:r>
      <w:r w:rsidR="009A6287" w:rsidRPr="00F9134B">
        <w:rPr>
          <w:rStyle w:val="FootnoteReference"/>
        </w:rPr>
        <w:footnoteReference w:id="40"/>
      </w:r>
      <w:r w:rsidR="009A6287" w:rsidRPr="00F9134B">
        <w:t xml:space="preserve"> from the </w:t>
      </w:r>
      <w:r w:rsidRPr="00F9134B">
        <w:t>annual work programme for the implementation of the Annual Action Plan in favour of Albania for 2021, as set out in the Annexes</w:t>
      </w:r>
      <w:r w:rsidR="009A6287" w:rsidRPr="00F9134B">
        <w:t>.</w:t>
      </w:r>
    </w:p>
    <w:p w14:paraId="62AAA0E9" w14:textId="77777777" w:rsidR="009A6287" w:rsidRPr="00F9134B" w:rsidRDefault="009A6287" w:rsidP="00F9134B">
      <w:pPr>
        <w:spacing w:before="0" w:beforeAutospacing="0" w:after="0" w:afterAutospacing="0"/>
      </w:pPr>
      <w:r w:rsidRPr="00F9134B">
        <w:t>The action plan shall include the following actions:</w:t>
      </w:r>
    </w:p>
    <w:p w14:paraId="7351350F" w14:textId="77777777" w:rsidR="009A6287" w:rsidRPr="00F9134B" w:rsidRDefault="009A6287" w:rsidP="00F9134B">
      <w:pPr>
        <w:pStyle w:val="ListParagraph"/>
        <w:numPr>
          <w:ilvl w:val="0"/>
          <w:numId w:val="18"/>
        </w:numPr>
        <w:spacing w:before="0" w:beforeAutospacing="0" w:afterAutospacing="0"/>
        <w:rPr>
          <w:rFonts w:ascii="Cambria" w:hAnsi="Cambria"/>
        </w:rPr>
      </w:pPr>
      <w:r w:rsidRPr="00F9134B">
        <w:rPr>
          <w:rFonts w:ascii="Cambria" w:hAnsi="Cambria"/>
        </w:rPr>
        <w:t>EU for Nature</w:t>
      </w:r>
    </w:p>
    <w:p w14:paraId="771D2ACF" w14:textId="77777777" w:rsidR="009A6287" w:rsidRPr="00F9134B" w:rsidRDefault="009A6287" w:rsidP="00F9134B">
      <w:pPr>
        <w:pStyle w:val="ListParagraph"/>
        <w:numPr>
          <w:ilvl w:val="0"/>
          <w:numId w:val="18"/>
        </w:numPr>
        <w:spacing w:before="0" w:beforeAutospacing="0" w:afterAutospacing="0"/>
        <w:rPr>
          <w:rFonts w:ascii="Cambria" w:hAnsi="Cambria"/>
        </w:rPr>
      </w:pPr>
      <w:r w:rsidRPr="00F9134B">
        <w:rPr>
          <w:rFonts w:ascii="Cambria" w:hAnsi="Cambria"/>
        </w:rPr>
        <w:t>EU for Circular Economy and Green Growth</w:t>
      </w:r>
    </w:p>
    <w:p w14:paraId="47779CC1" w14:textId="77777777" w:rsidR="009A6287" w:rsidRPr="00F9134B" w:rsidRDefault="009A6287" w:rsidP="00F9134B">
      <w:pPr>
        <w:pStyle w:val="ListParagraph"/>
        <w:numPr>
          <w:ilvl w:val="0"/>
          <w:numId w:val="18"/>
        </w:numPr>
        <w:spacing w:before="0" w:beforeAutospacing="0" w:afterAutospacing="0"/>
        <w:rPr>
          <w:rFonts w:ascii="Cambria" w:hAnsi="Cambria"/>
        </w:rPr>
      </w:pPr>
      <w:r w:rsidRPr="00F9134B">
        <w:rPr>
          <w:rFonts w:ascii="Cambria" w:hAnsi="Cambria"/>
        </w:rPr>
        <w:t>EU for Innovation Phase II</w:t>
      </w:r>
    </w:p>
    <w:p w14:paraId="44D0FF6B" w14:textId="39DF9CE6" w:rsidR="009A6287" w:rsidRPr="00F9134B" w:rsidRDefault="009A6287" w:rsidP="00F9134B">
      <w:pPr>
        <w:pStyle w:val="ListParagraph"/>
        <w:numPr>
          <w:ilvl w:val="0"/>
          <w:numId w:val="18"/>
        </w:numPr>
        <w:spacing w:before="0" w:beforeAutospacing="0" w:afterAutospacing="0"/>
        <w:rPr>
          <w:rFonts w:ascii="Cambria" w:hAnsi="Cambria"/>
        </w:rPr>
      </w:pPr>
      <w:r w:rsidRPr="00F9134B">
        <w:rPr>
          <w:rFonts w:ascii="Cambria" w:hAnsi="Cambria"/>
        </w:rPr>
        <w:t>EU for Property Rights Phase IIEU for Justice</w:t>
      </w:r>
    </w:p>
    <w:p w14:paraId="19D7219F" w14:textId="77777777" w:rsidR="009A6287" w:rsidRPr="00F9134B" w:rsidRDefault="009A6287" w:rsidP="00F9134B">
      <w:pPr>
        <w:pStyle w:val="ListParagraph"/>
        <w:spacing w:before="0" w:beforeAutospacing="0" w:afterAutospacing="0"/>
        <w:rPr>
          <w:rFonts w:ascii="Cambria" w:hAnsi="Cambria"/>
        </w:rPr>
      </w:pPr>
    </w:p>
    <w:p w14:paraId="51E242C0" w14:textId="77777777" w:rsidR="007441E1" w:rsidRPr="00F9134B" w:rsidRDefault="007441E1" w:rsidP="00F9134B">
      <w:pPr>
        <w:spacing w:before="0" w:beforeAutospacing="0" w:after="0" w:afterAutospacing="0"/>
      </w:pPr>
      <w:r w:rsidRPr="00F9134B">
        <w:rPr>
          <w:b/>
        </w:rPr>
        <w:t>The action “EU for Nature”</w:t>
      </w:r>
      <w:r w:rsidRPr="00F9134B">
        <w:t xml:space="preserve"> will develop a baseline gender needs assessment proposing the methodology and concrete recommendations for gender actions. Throughout the implementation of this Action, gender analysis shall be carried out to ensure gender mainstreaming across activities, </w:t>
      </w:r>
      <w:r w:rsidRPr="00F9134B">
        <w:lastRenderedPageBreak/>
        <w:t>such as plans, the promotion campaign, development of policies, assessments or evaluations. Gender mainstreaming into the project activities is considered as a means for the fulfilment of Natura 2000 objectives. The gender perspective shall facilitate equal access to resources and opportunities. It will promote participation of women in planning processes and awareness activities. Gender approach will also foster equal opportunities through the economic activities, including farming, tourism, forestry, and infrastructure projects. During the implementation equal participation of men and women in project activities will be analysed and supported. Stakeholder decisions will be made with a gender balanced representation.</w:t>
      </w:r>
    </w:p>
    <w:p w14:paraId="70279ED5" w14:textId="77777777" w:rsidR="007441E1" w:rsidRPr="00F9134B" w:rsidRDefault="007441E1" w:rsidP="00F9134B">
      <w:pPr>
        <w:spacing w:before="0" w:beforeAutospacing="0" w:after="0" w:afterAutospacing="0"/>
      </w:pPr>
    </w:p>
    <w:p w14:paraId="3B053E7A" w14:textId="77777777" w:rsidR="007441E1" w:rsidRPr="00F9134B" w:rsidRDefault="007441E1" w:rsidP="00F9134B">
      <w:pPr>
        <w:spacing w:before="0" w:beforeAutospacing="0" w:after="0" w:afterAutospacing="0"/>
      </w:pPr>
      <w:r w:rsidRPr="00F9134B">
        <w:rPr>
          <w:b/>
        </w:rPr>
        <w:t>The action “EU for Circular Economy and Green Growth”,</w:t>
      </w:r>
      <w:r w:rsidRPr="00F9134B">
        <w:t xml:space="preserve"> will contribute to improving the protection of the environment and developing inclusive and gender responsive circular economy and sustainable green growth in Albania. Activities include for example aligning legislation, introducing Extended Producer Responsibility (EPR), supporting regional waste infrastructure and ensuring engagement of communities and private sector in circular economy and green growth. The Action will support the transposition of key waste directives, and boosting their implementation by preparing key planning documents for legal compliance, waste prevention, the circular economy and hazardous waste. Moreover, it will support the strengthening of the capacity of waste management authorities at central and local levels, and will provide them with tools to implement, monitor and enforce waste management policies including the setting up of an integrated system for waste</w:t>
      </w:r>
    </w:p>
    <w:p w14:paraId="533A93C7" w14:textId="77777777" w:rsidR="007441E1" w:rsidRPr="00F9134B" w:rsidRDefault="007441E1" w:rsidP="00F9134B">
      <w:pPr>
        <w:spacing w:before="0" w:beforeAutospacing="0" w:after="0" w:afterAutospacing="0"/>
      </w:pPr>
      <w:r w:rsidRPr="00F9134B">
        <w:t>data collection. Thus, the Action will support the National Environmental Agency (NEA) to fulfil its reporting requirements and the National Agency for Water Supply, Sewerage and Waste Infrastructure (AKUM), in the implementation of its responsibilities.</w:t>
      </w:r>
    </w:p>
    <w:p w14:paraId="094421BF" w14:textId="77777777" w:rsidR="007441E1" w:rsidRPr="00F9134B" w:rsidRDefault="007441E1" w:rsidP="00F9134B">
      <w:pPr>
        <w:spacing w:before="0" w:beforeAutospacing="0" w:after="0" w:afterAutospacing="0"/>
      </w:pPr>
    </w:p>
    <w:p w14:paraId="15CF57CF" w14:textId="77777777" w:rsidR="007441E1" w:rsidRPr="00F9134B" w:rsidRDefault="007441E1" w:rsidP="00F9134B">
      <w:pPr>
        <w:spacing w:before="0" w:beforeAutospacing="0" w:after="0" w:afterAutospacing="0"/>
      </w:pPr>
      <w:r w:rsidRPr="00F9134B">
        <w:rPr>
          <w:b/>
        </w:rPr>
        <w:t>The Action “EU for Innovation – Phase II”,</w:t>
      </w:r>
      <w:r w:rsidRPr="00F9134B">
        <w:t xml:space="preserve"> will contribute to gender quality and women’s empowerment by ensuring a gender perspective is mainstreamed into all activities. In particular, the cultural barriers in Albanian society that tend to block women from entrepreneurship and innovation possibilities are addressed on the basis of the gender analysis which has been carried out under the first phase of the EU for Innovation project. Attention shall be paid at the community level for women’s economic empowerment in the digital era. The action will update the existing gender analysis with focus on ensuring gender mainstreaming across programmes, financing schemes, promotion campaigns, policy reports, and assessments as well as on the disaggregation of data by gender.</w:t>
      </w:r>
    </w:p>
    <w:p w14:paraId="4E68553F" w14:textId="77777777" w:rsidR="007441E1" w:rsidRPr="00F9134B" w:rsidRDefault="007441E1" w:rsidP="00F9134B">
      <w:pPr>
        <w:spacing w:before="0" w:beforeAutospacing="0" w:after="0" w:afterAutospacing="0"/>
      </w:pPr>
    </w:p>
    <w:p w14:paraId="139B42CF" w14:textId="77777777" w:rsidR="007441E1" w:rsidRPr="00F9134B" w:rsidRDefault="007441E1" w:rsidP="00F9134B">
      <w:pPr>
        <w:spacing w:before="0" w:beforeAutospacing="0" w:after="0" w:afterAutospacing="0"/>
      </w:pPr>
      <w:r w:rsidRPr="00F9134B">
        <w:rPr>
          <w:b/>
        </w:rPr>
        <w:t xml:space="preserve">The Action “EU for Property Rights – Phase II”. </w:t>
      </w:r>
      <w:r w:rsidRPr="00F9134B">
        <w:t>The gender mainstreaming is not clear, because according to the call it is not possible to answer with accuracy the basic question on the number of properties the Albanian women own.  The system itself is designed to generate the data, but the low amount of data in the system does not allow for accurate statistics. 75% of IPRO data does not contain gender information. According to the data collected by the FAO in 5 districts, about 40% of properties are registered with women owners in full ownership or co-ownership.  The main gender-related concerns in the issuance of ownership titles are illustrated below.</w:t>
      </w:r>
    </w:p>
    <w:p w14:paraId="465EA869" w14:textId="77777777" w:rsidR="007441E1" w:rsidRPr="00F9134B" w:rsidRDefault="007441E1" w:rsidP="00F9134B">
      <w:pPr>
        <w:spacing w:before="0" w:beforeAutospacing="0" w:after="0" w:afterAutospacing="0"/>
      </w:pPr>
    </w:p>
    <w:p w14:paraId="386F9A3D" w14:textId="0D5352A1" w:rsidR="007441E1" w:rsidRPr="00F9134B" w:rsidRDefault="007441E1" w:rsidP="00F9134B">
      <w:pPr>
        <w:spacing w:before="0" w:beforeAutospacing="0" w:after="0" w:afterAutospacing="0"/>
      </w:pPr>
      <w:r w:rsidRPr="00F9134B">
        <w:rPr>
          <w:b/>
        </w:rPr>
        <w:t>The Action “EU for Justice”,</w:t>
      </w:r>
      <w:r w:rsidRPr="00F9134B">
        <w:t xml:space="preserve"> shall support gender equality and women’s and girl’s empowerment under all activities in line with the Gender Action Plan III (2021-2025), thus allowing the professional development of women in this sector. In Albania, inequalities still persist between women and men. The gender bias and stereotypes result in the unequal access of women and men to justice. Women face significant barriers in accessing justice in the following areas: land titling, property legalisation/registration, inheritance, division of property in the course of divorce, and maintenance and alimony payments. Lack of proper access to the courts due to the lack of financial means, lack of knowledge and the society's perception of the position of women in the family affect the access of women to justice. There is a rising number of claims from victims of domestic violence. Women are </w:t>
      </w:r>
      <w:r w:rsidRPr="00F9134B">
        <w:lastRenderedPageBreak/>
        <w:t>also more likely to be at risk of human trafficking. Statistics show that the majority of those benefiting</w:t>
      </w:r>
      <w:r w:rsidR="00B12F4B" w:rsidRPr="00F9134B">
        <w:t xml:space="preserve"> </w:t>
      </w:r>
      <w:r w:rsidRPr="00F9134B">
        <w:t>from legal aid are women.</w:t>
      </w:r>
    </w:p>
    <w:p w14:paraId="50959AF8" w14:textId="36D57CFD" w:rsidR="006C27D0" w:rsidRPr="00F9134B" w:rsidRDefault="006C27D0" w:rsidP="00F9134B">
      <w:pPr>
        <w:spacing w:before="0" w:beforeAutospacing="0" w:after="0" w:afterAutospacing="0"/>
      </w:pPr>
    </w:p>
    <w:p w14:paraId="3728CC14" w14:textId="3329F0C3" w:rsidR="006C27D0" w:rsidRPr="00F9134B" w:rsidRDefault="006C27D0" w:rsidP="00F9134B">
      <w:pPr>
        <w:spacing w:before="0" w:beforeAutospacing="0" w:after="0" w:afterAutospacing="0"/>
      </w:pPr>
    </w:p>
    <w:p w14:paraId="649B2752" w14:textId="2E980582" w:rsidR="006C27D0" w:rsidRPr="00F9134B" w:rsidRDefault="00593AE7" w:rsidP="00F9134B">
      <w:pPr>
        <w:pStyle w:val="Heading2"/>
        <w:spacing w:before="0" w:beforeAutospacing="0" w:after="0" w:afterAutospacing="0"/>
        <w:rPr>
          <w:sz w:val="22"/>
          <w:szCs w:val="22"/>
        </w:rPr>
      </w:pPr>
      <w:r w:rsidRPr="00F9134B">
        <w:rPr>
          <w:sz w:val="22"/>
          <w:szCs w:val="22"/>
        </w:rPr>
        <w:t>Appendix 2</w:t>
      </w:r>
    </w:p>
    <w:p w14:paraId="19181CA1" w14:textId="02BA3CDB" w:rsidR="00593AE7" w:rsidRPr="00F9134B" w:rsidRDefault="00593AE7" w:rsidP="00F9134B">
      <w:pPr>
        <w:spacing w:before="0" w:beforeAutospacing="0" w:after="0" w:afterAutospacing="0"/>
        <w:rPr>
          <w:b/>
          <w:u w:val="single"/>
        </w:rPr>
      </w:pPr>
      <w:r w:rsidRPr="00F9134B">
        <w:rPr>
          <w:b/>
          <w:u w:val="single"/>
        </w:rPr>
        <w:t>List of Interviews</w:t>
      </w:r>
    </w:p>
    <w:p w14:paraId="5120C7A4" w14:textId="7197CDD8" w:rsidR="006C27D0" w:rsidRPr="00F9134B" w:rsidRDefault="006C27D0" w:rsidP="00F9134B">
      <w:pPr>
        <w:spacing w:before="0" w:beforeAutospacing="0" w:after="0" w:afterAutospacing="0"/>
      </w:pPr>
    </w:p>
    <w:tbl>
      <w:tblPr>
        <w:tblStyle w:val="TableGrid"/>
        <w:tblW w:w="9749" w:type="dxa"/>
        <w:tblLayout w:type="fixed"/>
        <w:tblLook w:val="04A0" w:firstRow="1" w:lastRow="0" w:firstColumn="1" w:lastColumn="0" w:noHBand="0" w:noVBand="1"/>
      </w:tblPr>
      <w:tblGrid>
        <w:gridCol w:w="584"/>
        <w:gridCol w:w="1538"/>
        <w:gridCol w:w="1984"/>
        <w:gridCol w:w="3454"/>
        <w:gridCol w:w="2189"/>
      </w:tblGrid>
      <w:tr w:rsidR="00B4029E" w:rsidRPr="00B4029E" w14:paraId="026F0953" w14:textId="77777777" w:rsidTr="006E08EF">
        <w:trPr>
          <w:trHeight w:val="290"/>
        </w:trPr>
        <w:tc>
          <w:tcPr>
            <w:tcW w:w="584" w:type="dxa"/>
            <w:noWrap/>
            <w:hideMark/>
          </w:tcPr>
          <w:p w14:paraId="370F1F98" w14:textId="77777777" w:rsidR="00B4029E" w:rsidRPr="00B4029E" w:rsidRDefault="00B4029E" w:rsidP="00B4029E">
            <w:pPr>
              <w:spacing w:before="0" w:beforeAutospacing="0" w:after="0" w:afterAutospacing="0"/>
              <w:contextualSpacing w:val="0"/>
              <w:jc w:val="left"/>
              <w:rPr>
                <w:rFonts w:cs="Calibri"/>
                <w:b/>
                <w:bCs/>
                <w:sz w:val="24"/>
                <w:szCs w:val="24"/>
                <w:lang w:val="en-US"/>
              </w:rPr>
            </w:pPr>
            <w:r w:rsidRPr="00B4029E">
              <w:rPr>
                <w:rFonts w:cs="Calibri"/>
                <w:b/>
                <w:bCs/>
                <w:sz w:val="24"/>
                <w:szCs w:val="24"/>
                <w:lang w:val="en-US"/>
              </w:rPr>
              <w:t>No</w:t>
            </w:r>
          </w:p>
        </w:tc>
        <w:tc>
          <w:tcPr>
            <w:tcW w:w="1538" w:type="dxa"/>
            <w:noWrap/>
            <w:hideMark/>
          </w:tcPr>
          <w:p w14:paraId="5A3BD78B" w14:textId="77777777" w:rsidR="00B4029E" w:rsidRPr="00B4029E" w:rsidRDefault="00B4029E" w:rsidP="00B4029E">
            <w:pPr>
              <w:spacing w:before="0" w:beforeAutospacing="0" w:after="0" w:afterAutospacing="0"/>
              <w:contextualSpacing w:val="0"/>
              <w:jc w:val="left"/>
              <w:rPr>
                <w:rFonts w:cs="Calibri"/>
                <w:b/>
                <w:bCs/>
                <w:sz w:val="24"/>
                <w:szCs w:val="24"/>
                <w:lang w:val="en-US"/>
              </w:rPr>
            </w:pPr>
            <w:r w:rsidRPr="00B4029E">
              <w:rPr>
                <w:rFonts w:cs="Calibri"/>
                <w:b/>
                <w:bCs/>
                <w:sz w:val="24"/>
                <w:szCs w:val="24"/>
                <w:lang w:val="en-US"/>
              </w:rPr>
              <w:t xml:space="preserve">Name Surname </w:t>
            </w:r>
          </w:p>
        </w:tc>
        <w:tc>
          <w:tcPr>
            <w:tcW w:w="1984" w:type="dxa"/>
            <w:noWrap/>
            <w:hideMark/>
          </w:tcPr>
          <w:p w14:paraId="44C8DAB8" w14:textId="77777777" w:rsidR="00B4029E" w:rsidRPr="00B4029E" w:rsidRDefault="00B4029E" w:rsidP="00B4029E">
            <w:pPr>
              <w:spacing w:before="0" w:beforeAutospacing="0" w:after="0" w:afterAutospacing="0"/>
              <w:contextualSpacing w:val="0"/>
              <w:jc w:val="left"/>
              <w:rPr>
                <w:rFonts w:cs="Calibri"/>
                <w:b/>
                <w:bCs/>
                <w:sz w:val="24"/>
                <w:szCs w:val="24"/>
                <w:lang w:val="en-US"/>
              </w:rPr>
            </w:pPr>
            <w:r w:rsidRPr="00B4029E">
              <w:rPr>
                <w:rFonts w:cs="Calibri"/>
                <w:b/>
                <w:bCs/>
                <w:sz w:val="24"/>
                <w:szCs w:val="24"/>
                <w:lang w:val="en-US"/>
              </w:rPr>
              <w:t>Institution/</w:t>
            </w:r>
            <w:proofErr w:type="spellStart"/>
            <w:r w:rsidRPr="00B4029E">
              <w:rPr>
                <w:rFonts w:cs="Calibri"/>
                <w:b/>
                <w:bCs/>
                <w:sz w:val="24"/>
                <w:szCs w:val="24"/>
                <w:lang w:val="en-US"/>
              </w:rPr>
              <w:t>Organisation</w:t>
            </w:r>
            <w:proofErr w:type="spellEnd"/>
            <w:r w:rsidRPr="00B4029E">
              <w:rPr>
                <w:rFonts w:cs="Calibri"/>
                <w:b/>
                <w:bCs/>
                <w:sz w:val="24"/>
                <w:szCs w:val="24"/>
                <w:lang w:val="en-US"/>
              </w:rPr>
              <w:t xml:space="preserve"> </w:t>
            </w:r>
          </w:p>
        </w:tc>
        <w:tc>
          <w:tcPr>
            <w:tcW w:w="3454" w:type="dxa"/>
            <w:noWrap/>
            <w:hideMark/>
          </w:tcPr>
          <w:p w14:paraId="687B9BE9" w14:textId="77777777" w:rsidR="00B4029E" w:rsidRPr="00B4029E" w:rsidRDefault="00B4029E" w:rsidP="00B4029E">
            <w:pPr>
              <w:spacing w:before="0" w:beforeAutospacing="0" w:after="0" w:afterAutospacing="0"/>
              <w:contextualSpacing w:val="0"/>
              <w:jc w:val="left"/>
              <w:rPr>
                <w:rFonts w:cs="Calibri"/>
                <w:b/>
                <w:bCs/>
                <w:sz w:val="24"/>
                <w:szCs w:val="24"/>
                <w:lang w:val="en-US"/>
              </w:rPr>
            </w:pPr>
            <w:r w:rsidRPr="00B4029E">
              <w:rPr>
                <w:rFonts w:cs="Calibri"/>
                <w:b/>
                <w:bCs/>
                <w:sz w:val="24"/>
                <w:szCs w:val="24"/>
                <w:lang w:val="en-US"/>
              </w:rPr>
              <w:t xml:space="preserve">Position </w:t>
            </w:r>
          </w:p>
        </w:tc>
        <w:tc>
          <w:tcPr>
            <w:tcW w:w="2189" w:type="dxa"/>
            <w:noWrap/>
            <w:hideMark/>
          </w:tcPr>
          <w:p w14:paraId="69191607" w14:textId="77777777" w:rsidR="00B4029E" w:rsidRPr="00B4029E" w:rsidRDefault="00B4029E" w:rsidP="00B4029E">
            <w:pPr>
              <w:spacing w:before="0" w:beforeAutospacing="0" w:after="0" w:afterAutospacing="0"/>
              <w:contextualSpacing w:val="0"/>
              <w:jc w:val="left"/>
              <w:rPr>
                <w:rFonts w:cs="Calibri"/>
                <w:b/>
                <w:bCs/>
                <w:sz w:val="24"/>
                <w:szCs w:val="24"/>
                <w:lang w:val="en-US"/>
              </w:rPr>
            </w:pPr>
            <w:r w:rsidRPr="00B4029E">
              <w:rPr>
                <w:rFonts w:cs="Calibri"/>
                <w:b/>
                <w:bCs/>
                <w:sz w:val="24"/>
                <w:szCs w:val="24"/>
                <w:lang w:val="en-US"/>
              </w:rPr>
              <w:t xml:space="preserve">Contact </w:t>
            </w:r>
          </w:p>
        </w:tc>
      </w:tr>
      <w:tr w:rsidR="00B4029E" w:rsidRPr="00B4029E" w14:paraId="3FE7807E" w14:textId="77777777" w:rsidTr="006E08EF">
        <w:trPr>
          <w:trHeight w:val="580"/>
        </w:trPr>
        <w:tc>
          <w:tcPr>
            <w:tcW w:w="584" w:type="dxa"/>
            <w:noWrap/>
            <w:hideMark/>
          </w:tcPr>
          <w:p w14:paraId="78C57583"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1</w:t>
            </w:r>
          </w:p>
        </w:tc>
        <w:tc>
          <w:tcPr>
            <w:tcW w:w="1538" w:type="dxa"/>
            <w:noWrap/>
            <w:hideMark/>
          </w:tcPr>
          <w:p w14:paraId="4A3A23EB" w14:textId="77777777" w:rsidR="00B4029E" w:rsidRPr="00B4029E" w:rsidRDefault="00B4029E" w:rsidP="00B4029E">
            <w:pPr>
              <w:spacing w:before="0" w:beforeAutospacing="0" w:after="0" w:afterAutospacing="0"/>
              <w:contextualSpacing w:val="0"/>
              <w:jc w:val="left"/>
              <w:rPr>
                <w:rFonts w:cs="Calibri"/>
                <w:sz w:val="24"/>
                <w:szCs w:val="24"/>
                <w:lang w:val="en-US"/>
              </w:rPr>
            </w:pPr>
            <w:proofErr w:type="spellStart"/>
            <w:r w:rsidRPr="00B4029E">
              <w:rPr>
                <w:rFonts w:cs="Calibri"/>
                <w:sz w:val="24"/>
                <w:szCs w:val="24"/>
                <w:lang w:val="en-US"/>
              </w:rPr>
              <w:t>Merita</w:t>
            </w:r>
            <w:proofErr w:type="spellEnd"/>
            <w:r w:rsidRPr="00B4029E">
              <w:rPr>
                <w:rFonts w:cs="Calibri"/>
                <w:sz w:val="24"/>
                <w:szCs w:val="24"/>
                <w:lang w:val="en-US"/>
              </w:rPr>
              <w:t xml:space="preserve"> </w:t>
            </w:r>
            <w:proofErr w:type="spellStart"/>
            <w:r w:rsidRPr="00B4029E">
              <w:rPr>
                <w:rFonts w:cs="Calibri"/>
                <w:sz w:val="24"/>
                <w:szCs w:val="24"/>
                <w:lang w:val="en-US"/>
              </w:rPr>
              <w:t>Xhafaj</w:t>
            </w:r>
            <w:proofErr w:type="spellEnd"/>
          </w:p>
        </w:tc>
        <w:tc>
          <w:tcPr>
            <w:tcW w:w="1984" w:type="dxa"/>
            <w:hideMark/>
          </w:tcPr>
          <w:p w14:paraId="3380CC8F"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Ministry of Health and Social Protection</w:t>
            </w:r>
          </w:p>
        </w:tc>
        <w:tc>
          <w:tcPr>
            <w:tcW w:w="3454" w:type="dxa"/>
            <w:hideMark/>
          </w:tcPr>
          <w:p w14:paraId="6F3449C9"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General Director of Social Policies</w:t>
            </w:r>
          </w:p>
        </w:tc>
        <w:tc>
          <w:tcPr>
            <w:tcW w:w="2189" w:type="dxa"/>
            <w:noWrap/>
            <w:hideMark/>
          </w:tcPr>
          <w:p w14:paraId="43FF9AEE"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Merita.Xhafaj@shendetesia.gov.al </w:t>
            </w:r>
          </w:p>
        </w:tc>
      </w:tr>
      <w:tr w:rsidR="00B4029E" w:rsidRPr="00B4029E" w14:paraId="2E933AC6" w14:textId="77777777" w:rsidTr="006E08EF">
        <w:trPr>
          <w:trHeight w:val="1160"/>
        </w:trPr>
        <w:tc>
          <w:tcPr>
            <w:tcW w:w="584" w:type="dxa"/>
            <w:noWrap/>
            <w:hideMark/>
          </w:tcPr>
          <w:p w14:paraId="2F39280F"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2</w:t>
            </w:r>
          </w:p>
        </w:tc>
        <w:tc>
          <w:tcPr>
            <w:tcW w:w="1538" w:type="dxa"/>
            <w:noWrap/>
            <w:hideMark/>
          </w:tcPr>
          <w:p w14:paraId="3EC28976"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Brunilda </w:t>
            </w:r>
            <w:proofErr w:type="spellStart"/>
            <w:r w:rsidRPr="00B4029E">
              <w:rPr>
                <w:rFonts w:cs="Calibri"/>
                <w:sz w:val="24"/>
                <w:szCs w:val="24"/>
                <w:lang w:val="en-US"/>
              </w:rPr>
              <w:t>Dervishaj</w:t>
            </w:r>
            <w:proofErr w:type="spellEnd"/>
          </w:p>
        </w:tc>
        <w:tc>
          <w:tcPr>
            <w:tcW w:w="1984" w:type="dxa"/>
            <w:hideMark/>
          </w:tcPr>
          <w:p w14:paraId="48204EAE"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Ministry of Health and Social Protection</w:t>
            </w:r>
          </w:p>
        </w:tc>
        <w:tc>
          <w:tcPr>
            <w:tcW w:w="3454" w:type="dxa"/>
            <w:hideMark/>
          </w:tcPr>
          <w:p w14:paraId="1A7748BF" w14:textId="47C3D0A3" w:rsidR="00B4029E" w:rsidRPr="00B4029E" w:rsidRDefault="00B4029E" w:rsidP="00B4029E">
            <w:pPr>
              <w:spacing w:before="0" w:beforeAutospacing="0" w:after="0" w:afterAutospacing="0"/>
              <w:contextualSpacing w:val="0"/>
              <w:jc w:val="left"/>
              <w:rPr>
                <w:rFonts w:cs="Calibri"/>
                <w:sz w:val="24"/>
                <w:szCs w:val="24"/>
                <w:lang w:val="en-US"/>
              </w:rPr>
            </w:pPr>
            <w:r w:rsidRPr="001E2B7D">
              <w:rPr>
                <w:rFonts w:cs="Calibri"/>
                <w:sz w:val="24"/>
                <w:szCs w:val="24"/>
                <w:lang w:val="en-US"/>
              </w:rPr>
              <w:t xml:space="preserve">Chief </w:t>
            </w:r>
            <w:proofErr w:type="gramStart"/>
            <w:r w:rsidRPr="001E2B7D">
              <w:rPr>
                <w:rFonts w:cs="Calibri"/>
                <w:sz w:val="24"/>
                <w:szCs w:val="24"/>
                <w:lang w:val="en-US"/>
              </w:rPr>
              <w:t xml:space="preserve">of </w:t>
            </w:r>
            <w:r w:rsidRPr="00B4029E">
              <w:rPr>
                <w:rFonts w:cs="Calibri"/>
                <w:sz w:val="24"/>
                <w:szCs w:val="24"/>
                <w:lang w:val="en-US"/>
              </w:rPr>
              <w:t xml:space="preserve"> Sector</w:t>
            </w:r>
            <w:proofErr w:type="gramEnd"/>
            <w:r w:rsidRPr="00B4029E">
              <w:rPr>
                <w:rFonts w:cs="Calibri"/>
                <w:sz w:val="24"/>
                <w:szCs w:val="24"/>
                <w:lang w:val="en-US"/>
              </w:rPr>
              <w:t xml:space="preserve"> of Policies and Strategies for Social Inclusion and Gender Equality</w:t>
            </w:r>
          </w:p>
        </w:tc>
        <w:tc>
          <w:tcPr>
            <w:tcW w:w="2189" w:type="dxa"/>
            <w:noWrap/>
            <w:hideMark/>
          </w:tcPr>
          <w:p w14:paraId="6D2E9190"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Brunilda.Dervishaj@shendetesia.gov.al</w:t>
            </w:r>
          </w:p>
        </w:tc>
      </w:tr>
      <w:tr w:rsidR="00B4029E" w:rsidRPr="00B4029E" w14:paraId="1A1E6325" w14:textId="77777777" w:rsidTr="006E08EF">
        <w:trPr>
          <w:trHeight w:val="580"/>
        </w:trPr>
        <w:tc>
          <w:tcPr>
            <w:tcW w:w="584" w:type="dxa"/>
            <w:noWrap/>
            <w:hideMark/>
          </w:tcPr>
          <w:p w14:paraId="61428256"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3</w:t>
            </w:r>
          </w:p>
        </w:tc>
        <w:tc>
          <w:tcPr>
            <w:tcW w:w="1538" w:type="dxa"/>
            <w:noWrap/>
            <w:hideMark/>
          </w:tcPr>
          <w:p w14:paraId="4F8F173A"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Ines Leskaj </w:t>
            </w:r>
          </w:p>
        </w:tc>
        <w:tc>
          <w:tcPr>
            <w:tcW w:w="1984" w:type="dxa"/>
            <w:hideMark/>
          </w:tcPr>
          <w:p w14:paraId="3F7ADAD2"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Albanian Women's Empowerment Network</w:t>
            </w:r>
          </w:p>
        </w:tc>
        <w:tc>
          <w:tcPr>
            <w:tcW w:w="3454" w:type="dxa"/>
            <w:noWrap/>
            <w:hideMark/>
          </w:tcPr>
          <w:p w14:paraId="67298074"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3E31DDFF"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Ines.leskaj@awenetwork.org</w:t>
            </w:r>
          </w:p>
        </w:tc>
      </w:tr>
      <w:tr w:rsidR="00B4029E" w:rsidRPr="00B4029E" w14:paraId="099A22FB" w14:textId="77777777" w:rsidTr="006E08EF">
        <w:trPr>
          <w:trHeight w:val="580"/>
        </w:trPr>
        <w:tc>
          <w:tcPr>
            <w:tcW w:w="584" w:type="dxa"/>
            <w:noWrap/>
            <w:hideMark/>
          </w:tcPr>
          <w:p w14:paraId="1ACE3E50"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4</w:t>
            </w:r>
          </w:p>
        </w:tc>
        <w:tc>
          <w:tcPr>
            <w:tcW w:w="1538" w:type="dxa"/>
            <w:noWrap/>
            <w:hideMark/>
          </w:tcPr>
          <w:p w14:paraId="75393B8E"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Iris Luarasi</w:t>
            </w:r>
          </w:p>
        </w:tc>
        <w:tc>
          <w:tcPr>
            <w:tcW w:w="1984" w:type="dxa"/>
            <w:hideMark/>
          </w:tcPr>
          <w:p w14:paraId="2FAEB524"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Counseling Line for Women and Girls</w:t>
            </w:r>
          </w:p>
        </w:tc>
        <w:tc>
          <w:tcPr>
            <w:tcW w:w="3454" w:type="dxa"/>
            <w:noWrap/>
            <w:hideMark/>
          </w:tcPr>
          <w:p w14:paraId="5C67F7F9"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1BA0F9C1"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luarasi@gmail.com </w:t>
            </w:r>
          </w:p>
        </w:tc>
      </w:tr>
      <w:tr w:rsidR="008A3D2A" w:rsidRPr="00B4029E" w14:paraId="25E928ED" w14:textId="77777777" w:rsidTr="006E08EF">
        <w:trPr>
          <w:trHeight w:val="290"/>
        </w:trPr>
        <w:tc>
          <w:tcPr>
            <w:tcW w:w="584" w:type="dxa"/>
            <w:noWrap/>
            <w:hideMark/>
          </w:tcPr>
          <w:p w14:paraId="793C9DB2"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5</w:t>
            </w:r>
          </w:p>
        </w:tc>
        <w:tc>
          <w:tcPr>
            <w:tcW w:w="1538" w:type="dxa"/>
            <w:noWrap/>
            <w:hideMark/>
          </w:tcPr>
          <w:p w14:paraId="257A9D71"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Brikena Puka </w:t>
            </w:r>
          </w:p>
        </w:tc>
        <w:tc>
          <w:tcPr>
            <w:tcW w:w="1984" w:type="dxa"/>
            <w:noWrap/>
            <w:hideMark/>
          </w:tcPr>
          <w:p w14:paraId="6BF6C18E"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Vatra Centre</w:t>
            </w:r>
          </w:p>
        </w:tc>
        <w:tc>
          <w:tcPr>
            <w:tcW w:w="3454" w:type="dxa"/>
            <w:noWrap/>
            <w:hideMark/>
          </w:tcPr>
          <w:p w14:paraId="746C45B1"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78BA80B9"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Brikena_puka@yahoo.com</w:t>
            </w:r>
          </w:p>
        </w:tc>
      </w:tr>
      <w:tr w:rsidR="00B4029E" w:rsidRPr="00B4029E" w14:paraId="66F5B4E7" w14:textId="77777777" w:rsidTr="006E08EF">
        <w:trPr>
          <w:trHeight w:val="580"/>
        </w:trPr>
        <w:tc>
          <w:tcPr>
            <w:tcW w:w="584" w:type="dxa"/>
            <w:noWrap/>
            <w:hideMark/>
          </w:tcPr>
          <w:p w14:paraId="7CD3DF57"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6</w:t>
            </w:r>
          </w:p>
        </w:tc>
        <w:tc>
          <w:tcPr>
            <w:tcW w:w="1538" w:type="dxa"/>
            <w:noWrap/>
            <w:hideMark/>
          </w:tcPr>
          <w:p w14:paraId="672C053D"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Aurela Bozo</w:t>
            </w:r>
          </w:p>
        </w:tc>
        <w:tc>
          <w:tcPr>
            <w:tcW w:w="1984" w:type="dxa"/>
            <w:hideMark/>
          </w:tcPr>
          <w:p w14:paraId="1ED1E016"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Center for Legal and Civic initiatives</w:t>
            </w:r>
          </w:p>
        </w:tc>
        <w:tc>
          <w:tcPr>
            <w:tcW w:w="3454" w:type="dxa"/>
            <w:noWrap/>
            <w:hideMark/>
          </w:tcPr>
          <w:p w14:paraId="748E672F"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161962F3"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aurboz@yahoo.com </w:t>
            </w:r>
          </w:p>
        </w:tc>
      </w:tr>
      <w:tr w:rsidR="008A3D2A" w:rsidRPr="00B4029E" w14:paraId="609B946D" w14:textId="77777777" w:rsidTr="006E08EF">
        <w:trPr>
          <w:trHeight w:val="290"/>
        </w:trPr>
        <w:tc>
          <w:tcPr>
            <w:tcW w:w="584" w:type="dxa"/>
            <w:noWrap/>
            <w:hideMark/>
          </w:tcPr>
          <w:p w14:paraId="7B29FDB2"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7</w:t>
            </w:r>
          </w:p>
        </w:tc>
        <w:tc>
          <w:tcPr>
            <w:tcW w:w="1538" w:type="dxa"/>
            <w:noWrap/>
            <w:hideMark/>
          </w:tcPr>
          <w:p w14:paraId="14F69891"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Mariana Meshi</w:t>
            </w:r>
          </w:p>
        </w:tc>
        <w:tc>
          <w:tcPr>
            <w:tcW w:w="1984" w:type="dxa"/>
            <w:noWrap/>
            <w:hideMark/>
          </w:tcPr>
          <w:p w14:paraId="5347B2BD"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Different &amp; Equal </w:t>
            </w:r>
          </w:p>
        </w:tc>
        <w:tc>
          <w:tcPr>
            <w:tcW w:w="3454" w:type="dxa"/>
            <w:noWrap/>
            <w:hideMark/>
          </w:tcPr>
          <w:p w14:paraId="00A0E21E"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370F4A21"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mmeshi@yahoo.co.uk</w:t>
            </w:r>
          </w:p>
        </w:tc>
      </w:tr>
      <w:tr w:rsidR="00B4029E" w:rsidRPr="00B4029E" w14:paraId="7C979E0D" w14:textId="77777777" w:rsidTr="006E08EF">
        <w:trPr>
          <w:trHeight w:val="290"/>
        </w:trPr>
        <w:tc>
          <w:tcPr>
            <w:tcW w:w="584" w:type="dxa"/>
            <w:noWrap/>
            <w:hideMark/>
          </w:tcPr>
          <w:p w14:paraId="4B9A06FE"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8</w:t>
            </w:r>
          </w:p>
        </w:tc>
        <w:tc>
          <w:tcPr>
            <w:tcW w:w="1538" w:type="dxa"/>
            <w:noWrap/>
            <w:hideMark/>
          </w:tcPr>
          <w:p w14:paraId="6F0B1F9A"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Shpresa Banja</w:t>
            </w:r>
          </w:p>
        </w:tc>
        <w:tc>
          <w:tcPr>
            <w:tcW w:w="1984" w:type="dxa"/>
            <w:hideMark/>
          </w:tcPr>
          <w:p w14:paraId="18C85547" w14:textId="77777777" w:rsidR="00B4029E" w:rsidRPr="00B4029E" w:rsidRDefault="00B4029E" w:rsidP="00B4029E">
            <w:pPr>
              <w:spacing w:before="0" w:beforeAutospacing="0" w:after="0" w:afterAutospacing="0"/>
              <w:contextualSpacing w:val="0"/>
              <w:jc w:val="left"/>
              <w:rPr>
                <w:rFonts w:cs="Calibri"/>
                <w:sz w:val="24"/>
                <w:szCs w:val="24"/>
                <w:lang w:val="en-US"/>
              </w:rPr>
            </w:pPr>
            <w:proofErr w:type="spellStart"/>
            <w:r w:rsidRPr="00B4029E">
              <w:rPr>
                <w:rFonts w:cs="Calibri"/>
                <w:sz w:val="24"/>
                <w:szCs w:val="24"/>
                <w:lang w:val="en-US"/>
              </w:rPr>
              <w:t>Womens</w:t>
            </w:r>
            <w:proofErr w:type="spellEnd"/>
            <w:r w:rsidRPr="00B4029E">
              <w:rPr>
                <w:rFonts w:cs="Calibri"/>
                <w:sz w:val="24"/>
                <w:szCs w:val="24"/>
                <w:lang w:val="en-US"/>
              </w:rPr>
              <w:t xml:space="preserve"> Forum Elbasan</w:t>
            </w:r>
          </w:p>
        </w:tc>
        <w:tc>
          <w:tcPr>
            <w:tcW w:w="3454" w:type="dxa"/>
            <w:noWrap/>
            <w:hideMark/>
          </w:tcPr>
          <w:p w14:paraId="587C41DC"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31F77030"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forumigruaselbasan1991@gmail.com </w:t>
            </w:r>
          </w:p>
        </w:tc>
      </w:tr>
      <w:tr w:rsidR="008A3D2A" w:rsidRPr="00B4029E" w14:paraId="7D1725E2" w14:textId="77777777" w:rsidTr="006E08EF">
        <w:trPr>
          <w:trHeight w:val="290"/>
        </w:trPr>
        <w:tc>
          <w:tcPr>
            <w:tcW w:w="584" w:type="dxa"/>
            <w:noWrap/>
            <w:hideMark/>
          </w:tcPr>
          <w:p w14:paraId="5F9756E6"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9</w:t>
            </w:r>
          </w:p>
        </w:tc>
        <w:tc>
          <w:tcPr>
            <w:tcW w:w="1538" w:type="dxa"/>
            <w:noWrap/>
            <w:hideMark/>
          </w:tcPr>
          <w:p w14:paraId="4BEDB143"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Diana Kasa</w:t>
            </w:r>
          </w:p>
        </w:tc>
        <w:tc>
          <w:tcPr>
            <w:tcW w:w="1984" w:type="dxa"/>
            <w:noWrap/>
            <w:hideMark/>
          </w:tcPr>
          <w:p w14:paraId="78B62CE8"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Another Vision</w:t>
            </w:r>
          </w:p>
        </w:tc>
        <w:tc>
          <w:tcPr>
            <w:tcW w:w="3454" w:type="dxa"/>
            <w:noWrap/>
            <w:hideMark/>
          </w:tcPr>
          <w:p w14:paraId="7FE5AAC0"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Project Manager </w:t>
            </w:r>
          </w:p>
        </w:tc>
        <w:tc>
          <w:tcPr>
            <w:tcW w:w="2189" w:type="dxa"/>
            <w:noWrap/>
            <w:hideMark/>
          </w:tcPr>
          <w:p w14:paraId="28D48C4D"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dkasa@hotmail.com </w:t>
            </w:r>
          </w:p>
        </w:tc>
      </w:tr>
      <w:tr w:rsidR="00B4029E" w:rsidRPr="00B4029E" w14:paraId="5741DE51" w14:textId="77777777" w:rsidTr="006E08EF">
        <w:trPr>
          <w:trHeight w:val="290"/>
        </w:trPr>
        <w:tc>
          <w:tcPr>
            <w:tcW w:w="584" w:type="dxa"/>
            <w:noWrap/>
            <w:hideMark/>
          </w:tcPr>
          <w:p w14:paraId="7C154CFA"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10</w:t>
            </w:r>
          </w:p>
        </w:tc>
        <w:tc>
          <w:tcPr>
            <w:tcW w:w="1538" w:type="dxa"/>
            <w:noWrap/>
            <w:hideMark/>
          </w:tcPr>
          <w:p w14:paraId="58371904" w14:textId="77777777" w:rsidR="00B4029E" w:rsidRPr="00B4029E" w:rsidRDefault="00B4029E" w:rsidP="00B4029E">
            <w:pPr>
              <w:spacing w:before="0" w:beforeAutospacing="0" w:after="0" w:afterAutospacing="0"/>
              <w:contextualSpacing w:val="0"/>
              <w:jc w:val="left"/>
              <w:rPr>
                <w:rFonts w:cs="Calibri"/>
                <w:sz w:val="24"/>
                <w:szCs w:val="24"/>
                <w:lang w:val="en-US"/>
              </w:rPr>
            </w:pPr>
            <w:proofErr w:type="spellStart"/>
            <w:r w:rsidRPr="00B4029E">
              <w:rPr>
                <w:rFonts w:cs="Calibri"/>
                <w:sz w:val="24"/>
                <w:szCs w:val="24"/>
                <w:lang w:val="en-US"/>
              </w:rPr>
              <w:t>Alketa</w:t>
            </w:r>
            <w:proofErr w:type="spellEnd"/>
            <w:r w:rsidRPr="00B4029E">
              <w:rPr>
                <w:rFonts w:cs="Calibri"/>
                <w:sz w:val="24"/>
                <w:szCs w:val="24"/>
                <w:lang w:val="en-US"/>
              </w:rPr>
              <w:t xml:space="preserve"> </w:t>
            </w:r>
            <w:proofErr w:type="spellStart"/>
            <w:r w:rsidRPr="00B4029E">
              <w:rPr>
                <w:rFonts w:cs="Calibri"/>
                <w:sz w:val="24"/>
                <w:szCs w:val="24"/>
                <w:lang w:val="en-US"/>
              </w:rPr>
              <w:t>Lamani</w:t>
            </w:r>
            <w:proofErr w:type="spellEnd"/>
          </w:p>
        </w:tc>
        <w:tc>
          <w:tcPr>
            <w:tcW w:w="1984" w:type="dxa"/>
            <w:hideMark/>
          </w:tcPr>
          <w:p w14:paraId="54C79494" w14:textId="77777777" w:rsidR="00B4029E" w:rsidRPr="00B4029E" w:rsidRDefault="00B4029E" w:rsidP="00B4029E">
            <w:pPr>
              <w:spacing w:before="0" w:beforeAutospacing="0" w:after="0" w:afterAutospacing="0"/>
              <w:contextualSpacing w:val="0"/>
              <w:jc w:val="left"/>
              <w:rPr>
                <w:rFonts w:cs="Calibri"/>
                <w:sz w:val="24"/>
                <w:szCs w:val="24"/>
                <w:lang w:val="en-US"/>
              </w:rPr>
            </w:pPr>
            <w:proofErr w:type="spellStart"/>
            <w:r w:rsidRPr="00B4029E">
              <w:rPr>
                <w:rFonts w:cs="Calibri"/>
                <w:sz w:val="24"/>
                <w:szCs w:val="24"/>
                <w:lang w:val="en-US"/>
              </w:rPr>
              <w:t>Vlora</w:t>
            </w:r>
            <w:proofErr w:type="spellEnd"/>
            <w:r w:rsidRPr="00B4029E">
              <w:rPr>
                <w:rFonts w:cs="Calibri"/>
                <w:sz w:val="24"/>
                <w:szCs w:val="24"/>
                <w:lang w:val="en-US"/>
              </w:rPr>
              <w:t xml:space="preserve"> Youth Centre </w:t>
            </w:r>
          </w:p>
        </w:tc>
        <w:tc>
          <w:tcPr>
            <w:tcW w:w="3454" w:type="dxa"/>
            <w:noWrap/>
            <w:hideMark/>
          </w:tcPr>
          <w:p w14:paraId="079BE1B6"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Project Manager </w:t>
            </w:r>
          </w:p>
        </w:tc>
        <w:tc>
          <w:tcPr>
            <w:tcW w:w="2189" w:type="dxa"/>
            <w:noWrap/>
            <w:hideMark/>
          </w:tcPr>
          <w:p w14:paraId="022EC4D5"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keti.lamani@gmail.com </w:t>
            </w:r>
          </w:p>
        </w:tc>
      </w:tr>
      <w:tr w:rsidR="008A3D2A" w:rsidRPr="00B4029E" w14:paraId="3EA2C48D" w14:textId="77777777" w:rsidTr="006E08EF">
        <w:trPr>
          <w:trHeight w:val="290"/>
        </w:trPr>
        <w:tc>
          <w:tcPr>
            <w:tcW w:w="584" w:type="dxa"/>
            <w:noWrap/>
            <w:hideMark/>
          </w:tcPr>
          <w:p w14:paraId="14FAB973"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11</w:t>
            </w:r>
          </w:p>
        </w:tc>
        <w:tc>
          <w:tcPr>
            <w:tcW w:w="1538" w:type="dxa"/>
            <w:noWrap/>
            <w:hideMark/>
          </w:tcPr>
          <w:p w14:paraId="71A92A18" w14:textId="77777777" w:rsidR="00B4029E" w:rsidRPr="00B4029E" w:rsidRDefault="00B4029E" w:rsidP="00B4029E">
            <w:pPr>
              <w:spacing w:before="0" w:beforeAutospacing="0" w:after="0" w:afterAutospacing="0"/>
              <w:contextualSpacing w:val="0"/>
              <w:jc w:val="left"/>
              <w:rPr>
                <w:rFonts w:cs="Calibri"/>
                <w:sz w:val="24"/>
                <w:szCs w:val="24"/>
                <w:lang w:val="en-US"/>
              </w:rPr>
            </w:pPr>
            <w:proofErr w:type="spellStart"/>
            <w:r w:rsidRPr="00B4029E">
              <w:rPr>
                <w:rFonts w:cs="Calibri"/>
                <w:sz w:val="24"/>
                <w:szCs w:val="24"/>
                <w:lang w:val="en-US"/>
              </w:rPr>
              <w:t>Denada</w:t>
            </w:r>
            <w:proofErr w:type="spellEnd"/>
            <w:r w:rsidRPr="00B4029E">
              <w:rPr>
                <w:rFonts w:cs="Calibri"/>
                <w:sz w:val="24"/>
                <w:szCs w:val="24"/>
                <w:lang w:val="en-US"/>
              </w:rPr>
              <w:t xml:space="preserve"> </w:t>
            </w:r>
            <w:proofErr w:type="spellStart"/>
            <w:r w:rsidRPr="00B4029E">
              <w:rPr>
                <w:rFonts w:cs="Calibri"/>
                <w:sz w:val="24"/>
                <w:szCs w:val="24"/>
                <w:lang w:val="en-US"/>
              </w:rPr>
              <w:t>Shpuza</w:t>
            </w:r>
            <w:proofErr w:type="spellEnd"/>
            <w:r w:rsidRPr="00B4029E">
              <w:rPr>
                <w:rFonts w:cs="Calibri"/>
                <w:sz w:val="24"/>
                <w:szCs w:val="24"/>
                <w:lang w:val="en-US"/>
              </w:rPr>
              <w:t xml:space="preserve"> </w:t>
            </w:r>
          </w:p>
        </w:tc>
        <w:tc>
          <w:tcPr>
            <w:tcW w:w="1984" w:type="dxa"/>
            <w:noWrap/>
            <w:hideMark/>
          </w:tcPr>
          <w:p w14:paraId="01C0D934"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Light Steps </w:t>
            </w:r>
          </w:p>
        </w:tc>
        <w:tc>
          <w:tcPr>
            <w:tcW w:w="3454" w:type="dxa"/>
            <w:noWrap/>
            <w:hideMark/>
          </w:tcPr>
          <w:p w14:paraId="5E594461"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21A128B1"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shpuzadenada@hotmail.com </w:t>
            </w:r>
          </w:p>
        </w:tc>
      </w:tr>
      <w:tr w:rsidR="00B4029E" w:rsidRPr="00B4029E" w14:paraId="118C6A79" w14:textId="77777777" w:rsidTr="006E08EF">
        <w:trPr>
          <w:trHeight w:val="290"/>
        </w:trPr>
        <w:tc>
          <w:tcPr>
            <w:tcW w:w="584" w:type="dxa"/>
            <w:noWrap/>
            <w:hideMark/>
          </w:tcPr>
          <w:p w14:paraId="055B1C2F"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12</w:t>
            </w:r>
          </w:p>
        </w:tc>
        <w:tc>
          <w:tcPr>
            <w:tcW w:w="1538" w:type="dxa"/>
            <w:noWrap/>
            <w:hideMark/>
          </w:tcPr>
          <w:p w14:paraId="1354EB14" w14:textId="77777777" w:rsidR="00B4029E" w:rsidRPr="00B4029E" w:rsidRDefault="00B4029E" w:rsidP="00B4029E">
            <w:pPr>
              <w:spacing w:before="0" w:beforeAutospacing="0" w:after="0" w:afterAutospacing="0"/>
              <w:contextualSpacing w:val="0"/>
              <w:jc w:val="left"/>
              <w:rPr>
                <w:rFonts w:cs="Calibri"/>
                <w:sz w:val="24"/>
                <w:szCs w:val="24"/>
                <w:lang w:val="en-US"/>
              </w:rPr>
            </w:pPr>
            <w:proofErr w:type="spellStart"/>
            <w:r w:rsidRPr="00B4029E">
              <w:rPr>
                <w:rFonts w:cs="Calibri"/>
                <w:sz w:val="24"/>
                <w:szCs w:val="24"/>
                <w:lang w:val="en-US"/>
              </w:rPr>
              <w:t>Nevila</w:t>
            </w:r>
            <w:proofErr w:type="spellEnd"/>
            <w:r w:rsidRPr="00B4029E">
              <w:rPr>
                <w:rFonts w:cs="Calibri"/>
                <w:sz w:val="24"/>
                <w:szCs w:val="24"/>
                <w:lang w:val="en-US"/>
              </w:rPr>
              <w:t xml:space="preserve"> </w:t>
            </w:r>
            <w:proofErr w:type="spellStart"/>
            <w:r w:rsidRPr="00B4029E">
              <w:rPr>
                <w:rFonts w:cs="Calibri"/>
                <w:sz w:val="24"/>
                <w:szCs w:val="24"/>
                <w:lang w:val="en-US"/>
              </w:rPr>
              <w:t>Jahaj</w:t>
            </w:r>
            <w:proofErr w:type="spellEnd"/>
          </w:p>
        </w:tc>
        <w:tc>
          <w:tcPr>
            <w:tcW w:w="1984" w:type="dxa"/>
            <w:hideMark/>
          </w:tcPr>
          <w:p w14:paraId="3BCB13FD"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New Epoch </w:t>
            </w:r>
          </w:p>
        </w:tc>
        <w:tc>
          <w:tcPr>
            <w:tcW w:w="3454" w:type="dxa"/>
            <w:noWrap/>
            <w:hideMark/>
          </w:tcPr>
          <w:p w14:paraId="78CAB3D0"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136129C7"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nevilajahaj@gmail.com </w:t>
            </w:r>
          </w:p>
        </w:tc>
      </w:tr>
      <w:tr w:rsidR="00B4029E" w:rsidRPr="00B4029E" w14:paraId="014F84DF" w14:textId="77777777" w:rsidTr="006E08EF">
        <w:trPr>
          <w:trHeight w:val="580"/>
        </w:trPr>
        <w:tc>
          <w:tcPr>
            <w:tcW w:w="584" w:type="dxa"/>
            <w:noWrap/>
            <w:hideMark/>
          </w:tcPr>
          <w:p w14:paraId="52DD59C1"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t>13</w:t>
            </w:r>
          </w:p>
        </w:tc>
        <w:tc>
          <w:tcPr>
            <w:tcW w:w="1538" w:type="dxa"/>
            <w:noWrap/>
            <w:hideMark/>
          </w:tcPr>
          <w:p w14:paraId="10C92AFD"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Miriam </w:t>
            </w:r>
            <w:proofErr w:type="spellStart"/>
            <w:r w:rsidRPr="00B4029E">
              <w:rPr>
                <w:rFonts w:cs="Calibri"/>
                <w:sz w:val="24"/>
                <w:szCs w:val="24"/>
                <w:lang w:val="en-US"/>
              </w:rPr>
              <w:t>Reci</w:t>
            </w:r>
            <w:proofErr w:type="spellEnd"/>
            <w:r w:rsidRPr="00B4029E">
              <w:rPr>
                <w:rFonts w:cs="Calibri"/>
                <w:sz w:val="24"/>
                <w:szCs w:val="24"/>
                <w:lang w:val="en-US"/>
              </w:rPr>
              <w:t xml:space="preserve"> </w:t>
            </w:r>
          </w:p>
        </w:tc>
        <w:tc>
          <w:tcPr>
            <w:tcW w:w="1984" w:type="dxa"/>
            <w:hideMark/>
          </w:tcPr>
          <w:p w14:paraId="1082F8A4"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Civil Society Development Center </w:t>
            </w:r>
          </w:p>
        </w:tc>
        <w:tc>
          <w:tcPr>
            <w:tcW w:w="3454" w:type="dxa"/>
            <w:noWrap/>
            <w:hideMark/>
          </w:tcPr>
          <w:p w14:paraId="0B895F0F"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30106DC2"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miriamreci@yahoo.com </w:t>
            </w:r>
          </w:p>
        </w:tc>
      </w:tr>
      <w:tr w:rsidR="00B4029E" w:rsidRPr="00B4029E" w14:paraId="4E1D4B54" w14:textId="77777777" w:rsidTr="006E08EF">
        <w:trPr>
          <w:trHeight w:val="580"/>
        </w:trPr>
        <w:tc>
          <w:tcPr>
            <w:tcW w:w="584" w:type="dxa"/>
            <w:noWrap/>
            <w:hideMark/>
          </w:tcPr>
          <w:p w14:paraId="62A906DF" w14:textId="77777777" w:rsidR="00B4029E" w:rsidRPr="00B4029E" w:rsidRDefault="00B4029E" w:rsidP="00B4029E">
            <w:pPr>
              <w:spacing w:before="0" w:beforeAutospacing="0" w:after="0" w:afterAutospacing="0"/>
              <w:contextualSpacing w:val="0"/>
              <w:jc w:val="right"/>
              <w:rPr>
                <w:rFonts w:cs="Calibri"/>
                <w:sz w:val="24"/>
                <w:szCs w:val="24"/>
                <w:lang w:val="en-US"/>
              </w:rPr>
            </w:pPr>
            <w:r w:rsidRPr="00B4029E">
              <w:rPr>
                <w:rFonts w:cs="Calibri"/>
                <w:sz w:val="24"/>
                <w:szCs w:val="24"/>
                <w:lang w:val="en-US"/>
              </w:rPr>
              <w:lastRenderedPageBreak/>
              <w:t>14</w:t>
            </w:r>
          </w:p>
        </w:tc>
        <w:tc>
          <w:tcPr>
            <w:tcW w:w="1538" w:type="dxa"/>
            <w:noWrap/>
            <w:hideMark/>
          </w:tcPr>
          <w:p w14:paraId="09798B22"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Blerta </w:t>
            </w:r>
            <w:proofErr w:type="spellStart"/>
            <w:r w:rsidRPr="00B4029E">
              <w:rPr>
                <w:rFonts w:cs="Calibri"/>
                <w:sz w:val="24"/>
                <w:szCs w:val="24"/>
                <w:lang w:val="en-US"/>
              </w:rPr>
              <w:t>Cani</w:t>
            </w:r>
            <w:proofErr w:type="spellEnd"/>
          </w:p>
        </w:tc>
        <w:tc>
          <w:tcPr>
            <w:tcW w:w="1984" w:type="dxa"/>
            <w:hideMark/>
          </w:tcPr>
          <w:p w14:paraId="16DB486F"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Albanian Disability Rights Foundation</w:t>
            </w:r>
          </w:p>
        </w:tc>
        <w:tc>
          <w:tcPr>
            <w:tcW w:w="3454" w:type="dxa"/>
            <w:noWrap/>
            <w:hideMark/>
          </w:tcPr>
          <w:p w14:paraId="75767CD3"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Executive Director </w:t>
            </w:r>
          </w:p>
        </w:tc>
        <w:tc>
          <w:tcPr>
            <w:tcW w:w="2189" w:type="dxa"/>
            <w:noWrap/>
            <w:hideMark/>
          </w:tcPr>
          <w:p w14:paraId="5D9F94D3" w14:textId="77777777" w:rsidR="00B4029E" w:rsidRPr="00B4029E" w:rsidRDefault="00B4029E" w:rsidP="00B4029E">
            <w:pPr>
              <w:spacing w:before="0" w:beforeAutospacing="0" w:after="0" w:afterAutospacing="0"/>
              <w:contextualSpacing w:val="0"/>
              <w:jc w:val="left"/>
              <w:rPr>
                <w:rFonts w:cs="Calibri"/>
                <w:sz w:val="24"/>
                <w:szCs w:val="24"/>
                <w:lang w:val="en-US"/>
              </w:rPr>
            </w:pPr>
            <w:r w:rsidRPr="00B4029E">
              <w:rPr>
                <w:rFonts w:cs="Calibri"/>
                <w:sz w:val="24"/>
                <w:szCs w:val="24"/>
                <w:lang w:val="en-US"/>
              </w:rPr>
              <w:t xml:space="preserve">bcani009@gmail.com </w:t>
            </w:r>
          </w:p>
        </w:tc>
      </w:tr>
      <w:tr w:rsidR="00B4029E" w:rsidRPr="00B4029E" w14:paraId="2459341F" w14:textId="77777777" w:rsidTr="006E08EF">
        <w:trPr>
          <w:trHeight w:val="580"/>
        </w:trPr>
        <w:tc>
          <w:tcPr>
            <w:tcW w:w="584" w:type="dxa"/>
            <w:noWrap/>
          </w:tcPr>
          <w:p w14:paraId="79B1066E" w14:textId="38BF849F" w:rsidR="00B4029E" w:rsidRPr="001E2B7D" w:rsidRDefault="00B4029E" w:rsidP="00B4029E">
            <w:pPr>
              <w:spacing w:before="0" w:beforeAutospacing="0" w:after="0" w:afterAutospacing="0"/>
              <w:contextualSpacing w:val="0"/>
              <w:jc w:val="right"/>
              <w:rPr>
                <w:rFonts w:cs="Calibri"/>
                <w:sz w:val="24"/>
                <w:szCs w:val="24"/>
                <w:lang w:val="en-US"/>
              </w:rPr>
            </w:pPr>
            <w:r w:rsidRPr="001E2B7D">
              <w:rPr>
                <w:rFonts w:cs="Calibri"/>
                <w:sz w:val="24"/>
                <w:szCs w:val="24"/>
                <w:lang w:val="en-US"/>
              </w:rPr>
              <w:t>15</w:t>
            </w:r>
          </w:p>
        </w:tc>
        <w:tc>
          <w:tcPr>
            <w:tcW w:w="1538" w:type="dxa"/>
            <w:noWrap/>
          </w:tcPr>
          <w:p w14:paraId="1750A7EB" w14:textId="356E2A77" w:rsidR="00B4029E" w:rsidRPr="001E2B7D" w:rsidRDefault="00B4029E" w:rsidP="00B4029E">
            <w:pPr>
              <w:spacing w:before="0" w:beforeAutospacing="0" w:after="0" w:afterAutospacing="0"/>
              <w:contextualSpacing w:val="0"/>
              <w:jc w:val="left"/>
              <w:rPr>
                <w:rFonts w:cs="Calibri"/>
                <w:sz w:val="24"/>
                <w:szCs w:val="24"/>
                <w:lang w:val="en-US"/>
              </w:rPr>
            </w:pPr>
            <w:proofErr w:type="spellStart"/>
            <w:r w:rsidRPr="001E2B7D">
              <w:rPr>
                <w:rFonts w:cs="Calibri"/>
                <w:sz w:val="24"/>
                <w:szCs w:val="24"/>
                <w:lang w:val="en-US"/>
              </w:rPr>
              <w:t>Enklejda</w:t>
            </w:r>
            <w:proofErr w:type="spellEnd"/>
            <w:r w:rsidRPr="001E2B7D">
              <w:rPr>
                <w:rFonts w:cs="Calibri"/>
                <w:sz w:val="24"/>
                <w:szCs w:val="24"/>
                <w:lang w:val="en-US"/>
              </w:rPr>
              <w:t xml:space="preserve"> </w:t>
            </w:r>
            <w:proofErr w:type="spellStart"/>
            <w:r w:rsidRPr="001E2B7D">
              <w:rPr>
                <w:rFonts w:cs="Calibri"/>
                <w:sz w:val="24"/>
                <w:szCs w:val="24"/>
                <w:lang w:val="en-US"/>
              </w:rPr>
              <w:t>Brengu</w:t>
            </w:r>
            <w:proofErr w:type="spellEnd"/>
          </w:p>
        </w:tc>
        <w:tc>
          <w:tcPr>
            <w:tcW w:w="1984" w:type="dxa"/>
          </w:tcPr>
          <w:p w14:paraId="0C46A2E3" w14:textId="6DA13B2F" w:rsidR="00B4029E" w:rsidRPr="001E2B7D" w:rsidRDefault="00B4029E" w:rsidP="00B4029E">
            <w:pPr>
              <w:spacing w:before="0" w:beforeAutospacing="0" w:after="0" w:afterAutospacing="0"/>
              <w:contextualSpacing w:val="0"/>
              <w:jc w:val="left"/>
              <w:rPr>
                <w:rFonts w:cs="Calibri"/>
                <w:sz w:val="24"/>
                <w:szCs w:val="24"/>
                <w:lang w:val="en-US"/>
              </w:rPr>
            </w:pPr>
            <w:r w:rsidRPr="001E2B7D">
              <w:rPr>
                <w:rFonts w:cs="Calibri"/>
                <w:sz w:val="24"/>
                <w:szCs w:val="24"/>
                <w:lang w:val="en-US"/>
              </w:rPr>
              <w:t>Manager</w:t>
            </w:r>
          </w:p>
        </w:tc>
        <w:tc>
          <w:tcPr>
            <w:tcW w:w="3454" w:type="dxa"/>
            <w:noWrap/>
          </w:tcPr>
          <w:p w14:paraId="0CE3A101" w14:textId="0EF53B24" w:rsidR="00B4029E" w:rsidRPr="001E2B7D" w:rsidRDefault="00B4029E" w:rsidP="00B4029E">
            <w:pPr>
              <w:spacing w:before="0" w:beforeAutospacing="0" w:after="0" w:afterAutospacing="0"/>
              <w:contextualSpacing w:val="0"/>
              <w:jc w:val="left"/>
              <w:rPr>
                <w:rFonts w:cs="Calibri"/>
                <w:sz w:val="24"/>
                <w:szCs w:val="24"/>
                <w:lang w:val="en-US"/>
              </w:rPr>
            </w:pPr>
            <w:r w:rsidRPr="001E2B7D">
              <w:rPr>
                <w:rFonts w:cs="Calibri"/>
                <w:sz w:val="24"/>
                <w:szCs w:val="24"/>
                <w:lang w:val="en-US"/>
              </w:rPr>
              <w:t>EUD Albania</w:t>
            </w:r>
          </w:p>
        </w:tc>
        <w:tc>
          <w:tcPr>
            <w:tcW w:w="2189" w:type="dxa"/>
            <w:noWrap/>
          </w:tcPr>
          <w:p w14:paraId="13A4623B" w14:textId="2AD1C0D4" w:rsidR="00B4029E" w:rsidRPr="001E2B7D" w:rsidRDefault="00B4029E" w:rsidP="00B4029E">
            <w:pPr>
              <w:spacing w:before="0" w:beforeAutospacing="0" w:after="0" w:afterAutospacing="0"/>
              <w:contextualSpacing w:val="0"/>
              <w:jc w:val="left"/>
              <w:rPr>
                <w:rFonts w:cs="Calibri"/>
                <w:sz w:val="24"/>
                <w:szCs w:val="24"/>
                <w:lang w:val="en-US"/>
              </w:rPr>
            </w:pPr>
            <w:r w:rsidRPr="001E2B7D">
              <w:rPr>
                <w:rFonts w:cs="Calibri"/>
                <w:sz w:val="24"/>
                <w:szCs w:val="24"/>
                <w:lang w:val="en-US"/>
              </w:rPr>
              <w:t>Enkelejda.BREGU@eeas.europa.eu</w:t>
            </w:r>
          </w:p>
        </w:tc>
      </w:tr>
      <w:tr w:rsidR="00B4029E" w:rsidRPr="00B4029E" w14:paraId="59B52155" w14:textId="77777777" w:rsidTr="006E08EF">
        <w:trPr>
          <w:trHeight w:val="580"/>
        </w:trPr>
        <w:tc>
          <w:tcPr>
            <w:tcW w:w="584" w:type="dxa"/>
            <w:noWrap/>
          </w:tcPr>
          <w:p w14:paraId="0664424F" w14:textId="09683335" w:rsidR="00B4029E" w:rsidRPr="001E2B7D" w:rsidRDefault="00B4029E" w:rsidP="00B4029E">
            <w:pPr>
              <w:spacing w:before="0" w:beforeAutospacing="0" w:after="0" w:afterAutospacing="0"/>
              <w:contextualSpacing w:val="0"/>
              <w:jc w:val="right"/>
              <w:rPr>
                <w:rFonts w:cs="Calibri"/>
                <w:sz w:val="24"/>
                <w:szCs w:val="24"/>
                <w:lang w:val="en-US"/>
              </w:rPr>
            </w:pPr>
            <w:r w:rsidRPr="001E2B7D">
              <w:rPr>
                <w:rFonts w:cs="Calibri"/>
                <w:sz w:val="24"/>
                <w:szCs w:val="24"/>
                <w:lang w:val="en-US"/>
              </w:rPr>
              <w:t>16</w:t>
            </w:r>
          </w:p>
        </w:tc>
        <w:tc>
          <w:tcPr>
            <w:tcW w:w="1538" w:type="dxa"/>
            <w:noWrap/>
          </w:tcPr>
          <w:p w14:paraId="4F507DA8" w14:textId="7F371F77" w:rsidR="00B4029E" w:rsidRPr="001E2B7D" w:rsidRDefault="00B4029E" w:rsidP="00B4029E">
            <w:pPr>
              <w:spacing w:before="0" w:beforeAutospacing="0" w:after="0" w:afterAutospacing="0"/>
              <w:contextualSpacing w:val="0"/>
              <w:jc w:val="left"/>
              <w:rPr>
                <w:rFonts w:cs="Calibri"/>
                <w:sz w:val="24"/>
                <w:szCs w:val="24"/>
                <w:lang w:val="en-US"/>
              </w:rPr>
            </w:pPr>
            <w:proofErr w:type="spellStart"/>
            <w:r w:rsidRPr="001E2B7D">
              <w:rPr>
                <w:rFonts w:cs="Calibri"/>
                <w:sz w:val="24"/>
                <w:szCs w:val="24"/>
                <w:lang w:val="en-US"/>
              </w:rPr>
              <w:t>Admira</w:t>
            </w:r>
            <w:proofErr w:type="spellEnd"/>
            <w:r w:rsidRPr="001E2B7D">
              <w:rPr>
                <w:rFonts w:cs="Calibri"/>
                <w:sz w:val="24"/>
                <w:szCs w:val="24"/>
                <w:lang w:val="en-US"/>
              </w:rPr>
              <w:t xml:space="preserve"> </w:t>
            </w:r>
            <w:proofErr w:type="spellStart"/>
            <w:r w:rsidRPr="001E2B7D">
              <w:rPr>
                <w:rFonts w:cs="Calibri"/>
                <w:sz w:val="24"/>
                <w:szCs w:val="24"/>
                <w:lang w:val="en-US"/>
              </w:rPr>
              <w:t>Jorgji</w:t>
            </w:r>
            <w:proofErr w:type="spellEnd"/>
          </w:p>
        </w:tc>
        <w:tc>
          <w:tcPr>
            <w:tcW w:w="1984" w:type="dxa"/>
          </w:tcPr>
          <w:p w14:paraId="3EA618A7" w14:textId="6136177D" w:rsidR="00B4029E" w:rsidRPr="00B4029E" w:rsidRDefault="00B4029E" w:rsidP="00B4029E">
            <w:pPr>
              <w:shd w:val="clear" w:color="auto" w:fill="FFFFFF"/>
              <w:spacing w:before="0" w:beforeAutospacing="0" w:after="0" w:afterAutospacing="0"/>
              <w:contextualSpacing w:val="0"/>
              <w:jc w:val="left"/>
              <w:rPr>
                <w:rFonts w:cs="Calibri"/>
                <w:sz w:val="24"/>
                <w:szCs w:val="24"/>
                <w:lang w:val="en-US"/>
              </w:rPr>
            </w:pPr>
            <w:r w:rsidRPr="00B4029E">
              <w:rPr>
                <w:rFonts w:cs="Calibri"/>
                <w:sz w:val="24"/>
                <w:szCs w:val="24"/>
                <w:lang w:val="en-US"/>
              </w:rPr>
              <w:t>Director</w:t>
            </w:r>
          </w:p>
          <w:p w14:paraId="050C9E35" w14:textId="3924BD6C" w:rsidR="00B4029E" w:rsidRPr="00B4029E" w:rsidRDefault="00B4029E" w:rsidP="00B4029E">
            <w:pPr>
              <w:shd w:val="clear" w:color="auto" w:fill="FFFFFF"/>
              <w:spacing w:before="0" w:beforeAutospacing="0" w:after="0" w:afterAutospacing="0"/>
              <w:contextualSpacing w:val="0"/>
              <w:jc w:val="left"/>
              <w:rPr>
                <w:rFonts w:cs="Calibri"/>
                <w:sz w:val="24"/>
                <w:szCs w:val="24"/>
                <w:lang w:val="en-US"/>
              </w:rPr>
            </w:pPr>
            <w:r w:rsidRPr="001E2B7D">
              <w:rPr>
                <w:rFonts w:cs="Calibri"/>
                <w:sz w:val="24"/>
                <w:szCs w:val="24"/>
                <w:lang w:val="en-US"/>
              </w:rPr>
              <w:t>E</w:t>
            </w:r>
            <w:r w:rsidRPr="00B4029E">
              <w:rPr>
                <w:rFonts w:cs="Calibri"/>
                <w:sz w:val="24"/>
                <w:szCs w:val="24"/>
                <w:lang w:val="en-US"/>
              </w:rPr>
              <w:t>U Directorate</w:t>
            </w:r>
          </w:p>
          <w:p w14:paraId="5DF16F45" w14:textId="5183A7F5" w:rsidR="00B4029E" w:rsidRPr="001E2B7D" w:rsidRDefault="00B4029E" w:rsidP="00B4029E">
            <w:pPr>
              <w:shd w:val="clear" w:color="auto" w:fill="FFFFFF"/>
              <w:spacing w:before="0" w:beforeAutospacing="0" w:after="0" w:afterAutospacing="0"/>
              <w:contextualSpacing w:val="0"/>
              <w:jc w:val="left"/>
              <w:rPr>
                <w:rFonts w:cs="Calibri"/>
                <w:sz w:val="24"/>
                <w:szCs w:val="24"/>
                <w:lang w:val="en-US"/>
              </w:rPr>
            </w:pPr>
          </w:p>
        </w:tc>
        <w:tc>
          <w:tcPr>
            <w:tcW w:w="3454" w:type="dxa"/>
            <w:noWrap/>
          </w:tcPr>
          <w:p w14:paraId="50031248" w14:textId="77777777" w:rsidR="00B4029E" w:rsidRPr="00B4029E" w:rsidRDefault="00B4029E" w:rsidP="00B4029E">
            <w:pPr>
              <w:shd w:val="clear" w:color="auto" w:fill="FFFFFF"/>
              <w:spacing w:before="0" w:beforeAutospacing="0" w:after="0" w:afterAutospacing="0"/>
              <w:contextualSpacing w:val="0"/>
              <w:jc w:val="left"/>
              <w:rPr>
                <w:rFonts w:cs="Calibri"/>
                <w:sz w:val="24"/>
                <w:szCs w:val="24"/>
                <w:lang w:val="en-US"/>
              </w:rPr>
            </w:pPr>
            <w:r w:rsidRPr="00B4029E">
              <w:rPr>
                <w:rFonts w:cs="Calibri"/>
                <w:sz w:val="24"/>
                <w:szCs w:val="24"/>
                <w:lang w:val="en-US"/>
              </w:rPr>
              <w:t>Ministry for Europe and Foreign Affairs </w:t>
            </w:r>
          </w:p>
          <w:p w14:paraId="124690B9" w14:textId="77777777" w:rsidR="00B4029E" w:rsidRPr="001E2B7D" w:rsidRDefault="00B4029E" w:rsidP="00B4029E">
            <w:pPr>
              <w:spacing w:before="0" w:beforeAutospacing="0" w:after="0" w:afterAutospacing="0"/>
              <w:contextualSpacing w:val="0"/>
              <w:jc w:val="left"/>
              <w:rPr>
                <w:rFonts w:cs="Calibri"/>
                <w:sz w:val="24"/>
                <w:szCs w:val="24"/>
                <w:lang w:val="en-US"/>
              </w:rPr>
            </w:pPr>
          </w:p>
        </w:tc>
        <w:tc>
          <w:tcPr>
            <w:tcW w:w="2189" w:type="dxa"/>
            <w:noWrap/>
          </w:tcPr>
          <w:p w14:paraId="382AB6D7" w14:textId="65BBE355" w:rsidR="00B4029E" w:rsidRPr="001E2B7D" w:rsidRDefault="00DC02D5" w:rsidP="00B4029E">
            <w:pPr>
              <w:spacing w:before="0" w:beforeAutospacing="0" w:after="0" w:afterAutospacing="0"/>
              <w:contextualSpacing w:val="0"/>
              <w:jc w:val="left"/>
              <w:rPr>
                <w:rFonts w:cs="Calibri"/>
                <w:sz w:val="24"/>
                <w:szCs w:val="24"/>
                <w:lang w:val="en-US"/>
              </w:rPr>
            </w:pPr>
            <w:hyperlink r:id="rId16" w:tgtFrame="_blank" w:history="1">
              <w:r w:rsidR="00B4029E" w:rsidRPr="001E2B7D">
                <w:rPr>
                  <w:rFonts w:cs="Calibri"/>
                  <w:sz w:val="24"/>
                  <w:szCs w:val="24"/>
                  <w:lang w:val="en-US"/>
                </w:rPr>
                <w:t>admira.jorgji@mfa.gov.al</w:t>
              </w:r>
            </w:hyperlink>
            <w:r w:rsidR="00B4029E" w:rsidRPr="001E2B7D">
              <w:rPr>
                <w:rFonts w:cs="Calibri"/>
                <w:sz w:val="24"/>
                <w:szCs w:val="24"/>
                <w:lang w:val="en-US"/>
              </w:rPr>
              <w:t> </w:t>
            </w:r>
          </w:p>
        </w:tc>
      </w:tr>
      <w:tr w:rsidR="00B4029E" w:rsidRPr="00B4029E" w14:paraId="6A2129C8" w14:textId="77777777" w:rsidTr="006E08EF">
        <w:trPr>
          <w:trHeight w:val="580"/>
        </w:trPr>
        <w:tc>
          <w:tcPr>
            <w:tcW w:w="584" w:type="dxa"/>
            <w:noWrap/>
          </w:tcPr>
          <w:p w14:paraId="4A116478" w14:textId="7AA90825" w:rsidR="00B4029E" w:rsidRPr="001E2B7D" w:rsidRDefault="008A3D2A" w:rsidP="00B4029E">
            <w:pPr>
              <w:spacing w:before="0" w:beforeAutospacing="0" w:after="0" w:afterAutospacing="0"/>
              <w:contextualSpacing w:val="0"/>
              <w:jc w:val="right"/>
              <w:rPr>
                <w:rFonts w:cs="Calibri"/>
                <w:sz w:val="24"/>
                <w:szCs w:val="24"/>
                <w:lang w:val="en-US"/>
              </w:rPr>
            </w:pPr>
            <w:r w:rsidRPr="001E2B7D">
              <w:rPr>
                <w:rFonts w:cs="Calibri"/>
                <w:sz w:val="24"/>
                <w:szCs w:val="24"/>
                <w:lang w:val="en-US"/>
              </w:rPr>
              <w:t>17</w:t>
            </w:r>
          </w:p>
        </w:tc>
        <w:tc>
          <w:tcPr>
            <w:tcW w:w="1538" w:type="dxa"/>
            <w:noWrap/>
          </w:tcPr>
          <w:p w14:paraId="18483C9E" w14:textId="4FB69C3F" w:rsidR="00B4029E" w:rsidRPr="001E2B7D" w:rsidRDefault="008A3D2A" w:rsidP="00B4029E">
            <w:pPr>
              <w:spacing w:before="0" w:beforeAutospacing="0" w:after="0" w:afterAutospacing="0"/>
              <w:contextualSpacing w:val="0"/>
              <w:jc w:val="left"/>
              <w:rPr>
                <w:rFonts w:cs="Calibri"/>
                <w:sz w:val="24"/>
                <w:szCs w:val="24"/>
                <w:lang w:val="en-US"/>
              </w:rPr>
            </w:pPr>
            <w:r w:rsidRPr="001E2B7D">
              <w:rPr>
                <w:rFonts w:cs="Calibri"/>
                <w:sz w:val="24"/>
                <w:szCs w:val="24"/>
                <w:lang w:val="en-US"/>
              </w:rPr>
              <w:t xml:space="preserve">Ami </w:t>
            </w:r>
            <w:proofErr w:type="spellStart"/>
            <w:r w:rsidRPr="001E2B7D">
              <w:rPr>
                <w:rFonts w:cs="Calibri"/>
                <w:sz w:val="24"/>
                <w:szCs w:val="24"/>
                <w:lang w:val="en-US"/>
              </w:rPr>
              <w:t>Kozeli</w:t>
            </w:r>
            <w:proofErr w:type="spellEnd"/>
          </w:p>
        </w:tc>
        <w:tc>
          <w:tcPr>
            <w:tcW w:w="1984" w:type="dxa"/>
          </w:tcPr>
          <w:p w14:paraId="264A37E4" w14:textId="1DA4E976" w:rsidR="00B4029E" w:rsidRPr="001E2B7D" w:rsidRDefault="008A3D2A" w:rsidP="008A3D2A">
            <w:pPr>
              <w:shd w:val="clear" w:color="auto" w:fill="FFFFFF"/>
              <w:spacing w:before="0" w:beforeAutospacing="0" w:after="0" w:afterAutospacing="0" w:line="252" w:lineRule="atLeast"/>
              <w:contextualSpacing w:val="0"/>
              <w:jc w:val="left"/>
              <w:rPr>
                <w:rFonts w:cs="Calibri"/>
                <w:sz w:val="24"/>
                <w:szCs w:val="24"/>
                <w:lang w:val="en-US"/>
              </w:rPr>
            </w:pPr>
            <w:r w:rsidRPr="001E2B7D">
              <w:rPr>
                <w:rFonts w:cs="Calibri"/>
                <w:sz w:val="24"/>
                <w:szCs w:val="24"/>
                <w:lang w:val="en-US"/>
              </w:rPr>
              <w:t>Chief of cabinet</w:t>
            </w:r>
            <w:r w:rsidRPr="008A3D2A">
              <w:rPr>
                <w:rFonts w:cs="Calibri"/>
                <w:sz w:val="24"/>
                <w:szCs w:val="24"/>
                <w:lang w:val="en-US"/>
              </w:rPr>
              <w:br/>
            </w:r>
          </w:p>
        </w:tc>
        <w:tc>
          <w:tcPr>
            <w:tcW w:w="3454" w:type="dxa"/>
            <w:noWrap/>
          </w:tcPr>
          <w:p w14:paraId="084EEC0A" w14:textId="23EFBC16" w:rsidR="00B4029E" w:rsidRPr="001E2B7D" w:rsidRDefault="008A3D2A" w:rsidP="00B4029E">
            <w:pPr>
              <w:shd w:val="clear" w:color="auto" w:fill="FFFFFF"/>
              <w:spacing w:before="0" w:beforeAutospacing="0" w:after="0" w:afterAutospacing="0"/>
              <w:contextualSpacing w:val="0"/>
              <w:jc w:val="left"/>
              <w:rPr>
                <w:rFonts w:cs="Calibri"/>
                <w:sz w:val="24"/>
                <w:szCs w:val="24"/>
                <w:lang w:val="en-US"/>
              </w:rPr>
            </w:pPr>
            <w:r w:rsidRPr="001E2B7D">
              <w:rPr>
                <w:rFonts w:cs="Calibri"/>
                <w:sz w:val="24"/>
                <w:szCs w:val="24"/>
                <w:lang w:val="en-US"/>
              </w:rPr>
              <w:t>Office of the The Chief Negotiator of Albania with the European Union</w:t>
            </w:r>
          </w:p>
        </w:tc>
        <w:tc>
          <w:tcPr>
            <w:tcW w:w="2189" w:type="dxa"/>
            <w:noWrap/>
          </w:tcPr>
          <w:p w14:paraId="7EEA4492" w14:textId="77777777" w:rsidR="008A3D2A" w:rsidRPr="001E2B7D" w:rsidRDefault="008A3D2A" w:rsidP="008A3D2A">
            <w:pPr>
              <w:pStyle w:val="Heading3"/>
              <w:shd w:val="clear" w:color="auto" w:fill="FFFFFF"/>
              <w:spacing w:line="300" w:lineRule="atLeast"/>
              <w:outlineLvl w:val="2"/>
              <w:rPr>
                <w:b w:val="0"/>
                <w:bCs w:val="0"/>
                <w:color w:val="auto"/>
                <w:spacing w:val="5"/>
                <w:szCs w:val="24"/>
                <w:lang w:val="en-US"/>
              </w:rPr>
            </w:pPr>
            <w:r w:rsidRPr="001E2B7D">
              <w:rPr>
                <w:rStyle w:val="go"/>
                <w:b w:val="0"/>
                <w:bCs w:val="0"/>
                <w:color w:val="auto"/>
                <w:spacing w:val="5"/>
                <w:szCs w:val="24"/>
              </w:rPr>
              <w:t>Ami.Kozeli@kryeministria.al</w:t>
            </w:r>
          </w:p>
          <w:p w14:paraId="56C1F6AD" w14:textId="77777777" w:rsidR="00B4029E" w:rsidRPr="001E2B7D" w:rsidRDefault="00B4029E" w:rsidP="00B4029E">
            <w:pPr>
              <w:spacing w:before="0" w:beforeAutospacing="0" w:after="0" w:afterAutospacing="0"/>
              <w:contextualSpacing w:val="0"/>
              <w:jc w:val="left"/>
              <w:rPr>
                <w:rFonts w:cs="Calibri"/>
                <w:sz w:val="24"/>
                <w:szCs w:val="24"/>
                <w:lang w:val="en-US"/>
              </w:rPr>
            </w:pPr>
          </w:p>
        </w:tc>
      </w:tr>
    </w:tbl>
    <w:p w14:paraId="67C0CD8E" w14:textId="6A9AA49D" w:rsidR="006C27D0" w:rsidRPr="00F9134B" w:rsidRDefault="006C27D0" w:rsidP="00F9134B">
      <w:pPr>
        <w:spacing w:before="0" w:beforeAutospacing="0" w:after="0" w:afterAutospacing="0"/>
      </w:pPr>
    </w:p>
    <w:p w14:paraId="49AA07AE" w14:textId="1AF58697" w:rsidR="006C27D0" w:rsidRPr="00F9134B" w:rsidRDefault="006C27D0" w:rsidP="00F9134B">
      <w:pPr>
        <w:spacing w:before="0" w:beforeAutospacing="0" w:after="0" w:afterAutospacing="0"/>
      </w:pPr>
    </w:p>
    <w:p w14:paraId="5839034E" w14:textId="1E40A6DF" w:rsidR="006C27D0" w:rsidRPr="00F9134B" w:rsidRDefault="006C27D0" w:rsidP="00F9134B">
      <w:pPr>
        <w:spacing w:before="0" w:beforeAutospacing="0" w:after="0" w:afterAutospacing="0"/>
      </w:pPr>
    </w:p>
    <w:p w14:paraId="314E8331" w14:textId="2C0BC1E6" w:rsidR="006C27D0" w:rsidRPr="00F9134B" w:rsidRDefault="006C27D0" w:rsidP="00F9134B">
      <w:pPr>
        <w:spacing w:before="0" w:beforeAutospacing="0" w:after="0" w:afterAutospacing="0"/>
      </w:pPr>
    </w:p>
    <w:p w14:paraId="5A1A58E3" w14:textId="1B6EBED1" w:rsidR="006C27D0" w:rsidRDefault="006C27D0" w:rsidP="00F9134B">
      <w:pPr>
        <w:spacing w:before="0" w:beforeAutospacing="0" w:after="0" w:afterAutospacing="0"/>
      </w:pPr>
    </w:p>
    <w:p w14:paraId="029B16DF" w14:textId="12C90C4E" w:rsidR="00416592" w:rsidRDefault="00416592" w:rsidP="00F9134B">
      <w:pPr>
        <w:spacing w:before="0" w:beforeAutospacing="0" w:after="0" w:afterAutospacing="0"/>
      </w:pPr>
    </w:p>
    <w:p w14:paraId="45E9D505" w14:textId="369DF2A4" w:rsidR="00416592" w:rsidRDefault="00416592" w:rsidP="00F9134B">
      <w:pPr>
        <w:spacing w:before="0" w:beforeAutospacing="0" w:after="0" w:afterAutospacing="0"/>
      </w:pPr>
    </w:p>
    <w:p w14:paraId="64723E8A" w14:textId="0DD6207C" w:rsidR="00416592" w:rsidRDefault="00416592" w:rsidP="00F9134B">
      <w:pPr>
        <w:spacing w:before="0" w:beforeAutospacing="0" w:after="0" w:afterAutospacing="0"/>
      </w:pPr>
    </w:p>
    <w:p w14:paraId="6AA8DB2F" w14:textId="6AED855F" w:rsidR="00416592" w:rsidRDefault="00416592" w:rsidP="00F9134B">
      <w:pPr>
        <w:spacing w:before="0" w:beforeAutospacing="0" w:after="0" w:afterAutospacing="0"/>
      </w:pPr>
    </w:p>
    <w:p w14:paraId="35226B8C" w14:textId="0484B234" w:rsidR="00416592" w:rsidRDefault="00416592" w:rsidP="00F9134B">
      <w:pPr>
        <w:spacing w:before="0" w:beforeAutospacing="0" w:after="0" w:afterAutospacing="0"/>
      </w:pPr>
    </w:p>
    <w:p w14:paraId="71B52E48" w14:textId="4EBD859A" w:rsidR="00416592" w:rsidRDefault="00416592" w:rsidP="00F9134B">
      <w:pPr>
        <w:spacing w:before="0" w:beforeAutospacing="0" w:after="0" w:afterAutospacing="0"/>
      </w:pPr>
    </w:p>
    <w:p w14:paraId="57BB521D" w14:textId="484A1553" w:rsidR="00416592" w:rsidRDefault="00416592" w:rsidP="00F9134B">
      <w:pPr>
        <w:spacing w:before="0" w:beforeAutospacing="0" w:after="0" w:afterAutospacing="0"/>
      </w:pPr>
    </w:p>
    <w:p w14:paraId="5D20F57B" w14:textId="547651D7" w:rsidR="00416592" w:rsidRDefault="00416592" w:rsidP="00F9134B">
      <w:pPr>
        <w:spacing w:before="0" w:beforeAutospacing="0" w:after="0" w:afterAutospacing="0"/>
      </w:pPr>
    </w:p>
    <w:p w14:paraId="5A2E7CFF" w14:textId="447E1EF3" w:rsidR="00416592" w:rsidRDefault="00416592" w:rsidP="00F9134B">
      <w:pPr>
        <w:spacing w:before="0" w:beforeAutospacing="0" w:after="0" w:afterAutospacing="0"/>
      </w:pPr>
    </w:p>
    <w:p w14:paraId="357621BA" w14:textId="0FF8A10F" w:rsidR="00416592" w:rsidRDefault="00416592" w:rsidP="00F9134B">
      <w:pPr>
        <w:spacing w:before="0" w:beforeAutospacing="0" w:after="0" w:afterAutospacing="0"/>
      </w:pPr>
    </w:p>
    <w:p w14:paraId="504770AC" w14:textId="5FBA677A" w:rsidR="00416592" w:rsidRDefault="00416592" w:rsidP="00F9134B">
      <w:pPr>
        <w:spacing w:before="0" w:beforeAutospacing="0" w:after="0" w:afterAutospacing="0"/>
      </w:pPr>
    </w:p>
    <w:p w14:paraId="0D2089DE" w14:textId="3455B542" w:rsidR="00416592" w:rsidRDefault="00416592" w:rsidP="00F9134B">
      <w:pPr>
        <w:spacing w:before="0" w:beforeAutospacing="0" w:after="0" w:afterAutospacing="0"/>
      </w:pPr>
    </w:p>
    <w:p w14:paraId="571773E0" w14:textId="39C53C7B" w:rsidR="00416592" w:rsidRDefault="00416592" w:rsidP="00F9134B">
      <w:pPr>
        <w:spacing w:before="0" w:beforeAutospacing="0" w:after="0" w:afterAutospacing="0"/>
      </w:pPr>
    </w:p>
    <w:p w14:paraId="5EAE07EF" w14:textId="55734014" w:rsidR="00416592" w:rsidRDefault="00416592" w:rsidP="00F9134B">
      <w:pPr>
        <w:spacing w:before="0" w:beforeAutospacing="0" w:after="0" w:afterAutospacing="0"/>
      </w:pPr>
    </w:p>
    <w:p w14:paraId="416E1A74" w14:textId="37F9B027" w:rsidR="00416592" w:rsidRDefault="00416592" w:rsidP="00F9134B">
      <w:pPr>
        <w:spacing w:before="0" w:beforeAutospacing="0" w:after="0" w:afterAutospacing="0"/>
      </w:pPr>
    </w:p>
    <w:p w14:paraId="4C4F73C7" w14:textId="77777777" w:rsidR="006C27D0" w:rsidRPr="00F9134B" w:rsidRDefault="006C27D0" w:rsidP="00F9134B">
      <w:pPr>
        <w:spacing w:before="0" w:beforeAutospacing="0" w:after="0" w:afterAutospacing="0"/>
      </w:pPr>
    </w:p>
    <w:p w14:paraId="25023297" w14:textId="77777777" w:rsidR="006C27D0" w:rsidRPr="00F9134B" w:rsidRDefault="006C27D0" w:rsidP="00F9134B">
      <w:pPr>
        <w:pStyle w:val="Heading2"/>
        <w:spacing w:before="0" w:beforeAutospacing="0" w:after="0" w:afterAutospacing="0"/>
        <w:rPr>
          <w:sz w:val="22"/>
          <w:szCs w:val="22"/>
        </w:rPr>
      </w:pPr>
      <w:r w:rsidRPr="00F9134B">
        <w:rPr>
          <w:sz w:val="22"/>
          <w:szCs w:val="22"/>
        </w:rPr>
        <w:t>References and Bibliography</w:t>
      </w:r>
    </w:p>
    <w:p w14:paraId="0868A578" w14:textId="77777777" w:rsidR="003B5327" w:rsidRDefault="003B5327" w:rsidP="00F9134B">
      <w:pPr>
        <w:pStyle w:val="FootnoteText"/>
        <w:spacing w:before="0" w:beforeAutospacing="0" w:afterAutospacing="0"/>
        <w:rPr>
          <w:rFonts w:ascii="Cambria" w:hAnsi="Cambria"/>
          <w:sz w:val="22"/>
          <w:szCs w:val="22"/>
        </w:rPr>
      </w:pPr>
    </w:p>
    <w:p w14:paraId="34B08A85" w14:textId="3DA1EF5D"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hAnsi="Cambria"/>
          <w:sz w:val="22"/>
          <w:szCs w:val="22"/>
        </w:rPr>
        <w:t xml:space="preserve">European Movement Albania. 2022. Albania’s EU membership process. Online: </w:t>
      </w:r>
      <w:hyperlink r:id="rId17" w:history="1">
        <w:r w:rsidRPr="00F9134B">
          <w:rPr>
            <w:rStyle w:val="Hyperlink"/>
            <w:rFonts w:ascii="Cambria" w:hAnsi="Cambria"/>
            <w:sz w:val="22"/>
            <w:szCs w:val="22"/>
            <w:lang w:val="en-US"/>
          </w:rPr>
          <w:t>http://em-al.org/sq/albanias-eu-membership-process/</w:t>
        </w:r>
      </w:hyperlink>
      <w:r w:rsidRPr="00F9134B">
        <w:rPr>
          <w:rFonts w:ascii="Cambria" w:hAnsi="Cambria"/>
          <w:sz w:val="22"/>
          <w:szCs w:val="22"/>
          <w:lang w:val="en-US"/>
        </w:rPr>
        <w:t xml:space="preserve"> </w:t>
      </w:r>
    </w:p>
    <w:p w14:paraId="73BEED13" w14:textId="77777777" w:rsidR="006C27D0" w:rsidRPr="00F9134B" w:rsidRDefault="006C27D0" w:rsidP="00F9134B">
      <w:pPr>
        <w:pStyle w:val="FootnoteText"/>
        <w:spacing w:before="0" w:beforeAutospacing="0" w:afterAutospacing="0"/>
        <w:jc w:val="left"/>
        <w:rPr>
          <w:rFonts w:ascii="Cambria" w:hAnsi="Cambria"/>
          <w:sz w:val="22"/>
          <w:szCs w:val="22"/>
        </w:rPr>
      </w:pPr>
    </w:p>
    <w:p w14:paraId="7E99ED28" w14:textId="77777777" w:rsidR="006C27D0" w:rsidRPr="00F9134B" w:rsidRDefault="006C27D0" w:rsidP="00F9134B">
      <w:pPr>
        <w:pStyle w:val="FootnoteText"/>
        <w:spacing w:before="0" w:beforeAutospacing="0" w:afterAutospacing="0"/>
        <w:jc w:val="left"/>
        <w:rPr>
          <w:rFonts w:ascii="Cambria" w:hAnsi="Cambria"/>
          <w:sz w:val="22"/>
          <w:szCs w:val="22"/>
          <w:lang w:val="it-IT"/>
        </w:rPr>
      </w:pPr>
      <w:r w:rsidRPr="00F9134B">
        <w:rPr>
          <w:rFonts w:ascii="Cambria" w:hAnsi="Cambria"/>
          <w:sz w:val="22"/>
          <w:szCs w:val="22"/>
        </w:rPr>
        <w:t>European Commission, Directorate-General for Neighbourhood and Enlargement Negotiations</w:t>
      </w:r>
      <w:r w:rsidRPr="00F9134B">
        <w:rPr>
          <w:rFonts w:ascii="Cambria" w:hAnsi="Cambria"/>
          <w:sz w:val="22"/>
          <w:szCs w:val="22"/>
          <w:lang w:val="en-US"/>
        </w:rPr>
        <w:t xml:space="preserve">Albania Report 2021, 2021. </w:t>
      </w:r>
      <w:r w:rsidRPr="00F9134B">
        <w:rPr>
          <w:rFonts w:ascii="Cambria" w:hAnsi="Cambria"/>
          <w:sz w:val="22"/>
          <w:szCs w:val="22"/>
          <w:lang w:val="it-IT"/>
        </w:rPr>
        <w:t xml:space="preserve">Online: </w:t>
      </w:r>
      <w:hyperlink r:id="rId18" w:history="1">
        <w:r w:rsidRPr="00F9134B">
          <w:rPr>
            <w:rStyle w:val="Hyperlink"/>
            <w:rFonts w:ascii="Cambria" w:hAnsi="Cambria"/>
            <w:sz w:val="22"/>
            <w:szCs w:val="22"/>
            <w:lang w:val="it-IT"/>
          </w:rPr>
          <w:t>https://ec.europa.eu/neighbourhood-enlargement/albania-report-2021_en</w:t>
        </w:r>
      </w:hyperlink>
      <w:r w:rsidRPr="00F9134B">
        <w:rPr>
          <w:rFonts w:ascii="Cambria" w:hAnsi="Cambria"/>
          <w:sz w:val="22"/>
          <w:szCs w:val="22"/>
          <w:lang w:val="it-IT"/>
        </w:rPr>
        <w:t xml:space="preserve"> </w:t>
      </w:r>
    </w:p>
    <w:p w14:paraId="722C1017" w14:textId="77777777" w:rsidR="006C27D0" w:rsidRPr="00F9134B" w:rsidRDefault="006C27D0" w:rsidP="00F9134B">
      <w:pPr>
        <w:pStyle w:val="FootnoteText"/>
        <w:spacing w:before="0" w:beforeAutospacing="0" w:afterAutospacing="0"/>
        <w:jc w:val="left"/>
        <w:rPr>
          <w:rFonts w:ascii="Cambria" w:hAnsi="Cambria"/>
          <w:sz w:val="22"/>
          <w:szCs w:val="22"/>
          <w:lang w:val="it-IT"/>
        </w:rPr>
      </w:pPr>
    </w:p>
    <w:p w14:paraId="1F72263D" w14:textId="77777777" w:rsidR="006C27D0" w:rsidRPr="00F9134B" w:rsidRDefault="006C27D0" w:rsidP="00F9134B">
      <w:pPr>
        <w:pStyle w:val="FootnoteText"/>
        <w:spacing w:before="0" w:beforeAutospacing="0" w:afterAutospacing="0"/>
        <w:jc w:val="left"/>
        <w:rPr>
          <w:rFonts w:ascii="Cambria" w:hAnsi="Cambria"/>
          <w:sz w:val="22"/>
          <w:szCs w:val="22"/>
        </w:rPr>
      </w:pPr>
      <w:r w:rsidRPr="00F9134B">
        <w:rPr>
          <w:rFonts w:ascii="Cambria" w:hAnsi="Cambria"/>
          <w:sz w:val="22"/>
          <w:szCs w:val="22"/>
          <w:lang w:val="it-IT"/>
        </w:rPr>
        <w:t xml:space="preserve">European Parliament. </w:t>
      </w:r>
      <w:r w:rsidRPr="00F9134B">
        <w:rPr>
          <w:rFonts w:ascii="Cambria" w:hAnsi="Cambria"/>
          <w:sz w:val="22"/>
          <w:szCs w:val="22"/>
          <w:lang w:val="en-US"/>
        </w:rPr>
        <w:t xml:space="preserve">May 2022. Press Release. Online: </w:t>
      </w:r>
      <w:hyperlink r:id="rId19" w:history="1">
        <w:r w:rsidRPr="00F9134B">
          <w:rPr>
            <w:rStyle w:val="Hyperlink"/>
            <w:rFonts w:ascii="Cambria" w:hAnsi="Cambria"/>
            <w:sz w:val="22"/>
            <w:szCs w:val="22"/>
            <w:lang w:val="en-US"/>
          </w:rPr>
          <w:t>https://www.europarl.europa.eu/news/en/press-room/20220517IPR29936/albania-and-north-macedonia-meps-demand-eu-starts-accession-talks</w:t>
        </w:r>
      </w:hyperlink>
      <w:r w:rsidRPr="00F9134B">
        <w:rPr>
          <w:rFonts w:ascii="Cambria" w:hAnsi="Cambria"/>
          <w:sz w:val="22"/>
          <w:szCs w:val="22"/>
          <w:lang w:val="en-US"/>
        </w:rPr>
        <w:t xml:space="preserve"> </w:t>
      </w:r>
    </w:p>
    <w:p w14:paraId="7931AA94" w14:textId="77777777" w:rsidR="006C27D0" w:rsidRPr="00F9134B" w:rsidRDefault="006C27D0" w:rsidP="00F9134B">
      <w:pPr>
        <w:pStyle w:val="FootnoteText"/>
        <w:spacing w:before="0" w:beforeAutospacing="0" w:afterAutospacing="0"/>
        <w:rPr>
          <w:rFonts w:ascii="Cambria" w:hAnsi="Cambria"/>
          <w:sz w:val="22"/>
          <w:szCs w:val="22"/>
          <w:lang w:val="en-US"/>
        </w:rPr>
      </w:pPr>
    </w:p>
    <w:p w14:paraId="0169E75B"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hAnsi="Cambria"/>
          <w:sz w:val="22"/>
          <w:szCs w:val="22"/>
        </w:rPr>
        <w:lastRenderedPageBreak/>
        <w:t>INSTAT, 2020. Gender Equality Index for Albania. Retrieved from http://www.instat.gov.al/media/6661/gender_equality_index_for_the_republic_of_albania_2020.pdf</w:t>
      </w:r>
    </w:p>
    <w:p w14:paraId="56DD3DA3" w14:textId="77777777" w:rsidR="006C27D0" w:rsidRPr="00F9134B" w:rsidRDefault="006C27D0" w:rsidP="00F9134B">
      <w:pPr>
        <w:pStyle w:val="FootnoteText"/>
        <w:spacing w:before="0" w:beforeAutospacing="0" w:afterAutospacing="0"/>
        <w:rPr>
          <w:rFonts w:ascii="Cambria" w:hAnsi="Cambria"/>
          <w:sz w:val="22"/>
          <w:szCs w:val="22"/>
          <w:lang w:val="en-US"/>
        </w:rPr>
      </w:pPr>
    </w:p>
    <w:p w14:paraId="00927D2C"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hAnsi="Cambria"/>
          <w:sz w:val="22"/>
          <w:szCs w:val="22"/>
          <w:lang w:val="en-US"/>
        </w:rPr>
        <w:t xml:space="preserve">Subsection of the Ministry’s website focusing on EU integration: </w:t>
      </w:r>
      <w:hyperlink r:id="rId20" w:history="1">
        <w:r w:rsidRPr="00F9134B">
          <w:rPr>
            <w:rStyle w:val="Hyperlink"/>
            <w:rFonts w:ascii="Cambria" w:hAnsi="Cambria"/>
            <w:sz w:val="22"/>
            <w:szCs w:val="22"/>
            <w:lang w:val="en-US"/>
          </w:rPr>
          <w:t>http://integrimi-ne-be.punetejashtme.gov.al/</w:t>
        </w:r>
      </w:hyperlink>
      <w:r w:rsidRPr="00F9134B">
        <w:rPr>
          <w:rFonts w:ascii="Cambria" w:hAnsi="Cambria"/>
          <w:sz w:val="22"/>
          <w:szCs w:val="22"/>
          <w:lang w:val="en-US"/>
        </w:rPr>
        <w:t xml:space="preserve"> </w:t>
      </w:r>
    </w:p>
    <w:p w14:paraId="0ED8AF98" w14:textId="77777777" w:rsidR="006C27D0" w:rsidRPr="00F9134B" w:rsidRDefault="006C27D0" w:rsidP="00F9134B">
      <w:pPr>
        <w:pStyle w:val="FootnoteText"/>
        <w:spacing w:before="0" w:beforeAutospacing="0" w:afterAutospacing="0"/>
        <w:jc w:val="left"/>
        <w:rPr>
          <w:rFonts w:ascii="Cambria" w:hAnsi="Cambria"/>
          <w:sz w:val="22"/>
          <w:szCs w:val="22"/>
          <w:lang w:val="en-US"/>
        </w:rPr>
      </w:pPr>
    </w:p>
    <w:p w14:paraId="29D50CF3" w14:textId="77777777" w:rsidR="006C27D0" w:rsidRPr="00F9134B" w:rsidRDefault="006C27D0" w:rsidP="00F9134B">
      <w:pPr>
        <w:pStyle w:val="FootnoteText"/>
        <w:spacing w:before="0" w:beforeAutospacing="0" w:afterAutospacing="0"/>
        <w:jc w:val="left"/>
        <w:rPr>
          <w:rFonts w:ascii="Cambria" w:hAnsi="Cambria"/>
          <w:sz w:val="22"/>
          <w:szCs w:val="22"/>
          <w:lang w:val="en-US"/>
        </w:rPr>
      </w:pPr>
      <w:r w:rsidRPr="00F9134B">
        <w:rPr>
          <w:rFonts w:ascii="Cambria" w:hAnsi="Cambria"/>
          <w:sz w:val="22"/>
          <w:szCs w:val="22"/>
          <w:lang w:val="en-US"/>
        </w:rPr>
        <w:t xml:space="preserve">See meeting notes here: </w:t>
      </w:r>
      <w:hyperlink r:id="rId21" w:history="1">
        <w:r w:rsidRPr="00F9134B">
          <w:rPr>
            <w:rStyle w:val="Hyperlink"/>
            <w:rFonts w:ascii="Cambria" w:hAnsi="Cambria"/>
            <w:sz w:val="22"/>
            <w:szCs w:val="22"/>
            <w:lang w:val="en-US"/>
          </w:rPr>
          <w:t>http://integrimi-ne-be.punetejashtme.gov.al/anetaresimi-ne-be/takime-te-perbashketa/</w:t>
        </w:r>
      </w:hyperlink>
      <w:r w:rsidRPr="00F9134B">
        <w:rPr>
          <w:rFonts w:ascii="Cambria" w:hAnsi="Cambria"/>
          <w:sz w:val="22"/>
          <w:szCs w:val="22"/>
          <w:lang w:val="en-US"/>
        </w:rPr>
        <w:t xml:space="preserve"> </w:t>
      </w:r>
    </w:p>
    <w:p w14:paraId="6D5E8421" w14:textId="77777777" w:rsidR="006C27D0" w:rsidRPr="00F9134B" w:rsidRDefault="006C27D0" w:rsidP="00F9134B">
      <w:pPr>
        <w:pStyle w:val="FootnoteText"/>
        <w:spacing w:before="0" w:beforeAutospacing="0" w:afterAutospacing="0"/>
        <w:jc w:val="left"/>
        <w:rPr>
          <w:rFonts w:ascii="Cambria" w:hAnsi="Cambria"/>
          <w:sz w:val="22"/>
          <w:szCs w:val="22"/>
          <w:lang w:val="en-US"/>
        </w:rPr>
      </w:pPr>
    </w:p>
    <w:p w14:paraId="5DFFD0DF" w14:textId="77777777" w:rsidR="006C27D0" w:rsidRPr="00F9134B" w:rsidRDefault="006C27D0" w:rsidP="00F9134B">
      <w:pPr>
        <w:pStyle w:val="FootnoteText"/>
        <w:spacing w:before="0" w:beforeAutospacing="0" w:afterAutospacing="0"/>
        <w:jc w:val="left"/>
        <w:rPr>
          <w:rFonts w:ascii="Cambria" w:hAnsi="Cambria"/>
          <w:sz w:val="22"/>
          <w:szCs w:val="22"/>
          <w:lang w:val="en-US"/>
        </w:rPr>
      </w:pPr>
      <w:r w:rsidRPr="00F9134B">
        <w:rPr>
          <w:rFonts w:ascii="Cambria" w:hAnsi="Cambria"/>
          <w:sz w:val="22"/>
          <w:szCs w:val="22"/>
          <w:lang w:val="en-US"/>
        </w:rPr>
        <w:t xml:space="preserve">See the meeting notes here: </w:t>
      </w:r>
      <w:hyperlink r:id="rId22" w:history="1">
        <w:r w:rsidRPr="00F9134B">
          <w:rPr>
            <w:rStyle w:val="Hyperlink"/>
            <w:rFonts w:ascii="Cambria" w:hAnsi="Cambria"/>
            <w:sz w:val="22"/>
            <w:szCs w:val="22"/>
            <w:lang w:val="en-US"/>
          </w:rPr>
          <w:t>http://integrimi-ne-be.punetejashtme.gov.al/wp-content/uploads/2021/12/Nenkomiteti-i-13_2021-JFS-_-Deklarata-per-shtyp-ne-shqip.pdf</w:t>
        </w:r>
      </w:hyperlink>
      <w:r w:rsidRPr="00F9134B">
        <w:rPr>
          <w:rFonts w:ascii="Cambria" w:hAnsi="Cambria"/>
          <w:sz w:val="22"/>
          <w:szCs w:val="22"/>
          <w:lang w:val="en-US"/>
        </w:rPr>
        <w:t xml:space="preserve"> </w:t>
      </w:r>
    </w:p>
    <w:p w14:paraId="39FCEC61" w14:textId="77777777" w:rsidR="006C27D0" w:rsidRPr="00F9134B" w:rsidRDefault="006C27D0" w:rsidP="00F9134B">
      <w:pPr>
        <w:pStyle w:val="FootnoteText"/>
        <w:spacing w:before="0" w:beforeAutospacing="0" w:afterAutospacing="0"/>
        <w:jc w:val="left"/>
        <w:rPr>
          <w:rFonts w:ascii="Cambria" w:hAnsi="Cambria"/>
          <w:sz w:val="22"/>
          <w:szCs w:val="22"/>
        </w:rPr>
      </w:pPr>
    </w:p>
    <w:p w14:paraId="37051842" w14:textId="77777777" w:rsidR="006C27D0" w:rsidRPr="00F9134B" w:rsidRDefault="006C27D0" w:rsidP="00F9134B">
      <w:pPr>
        <w:pStyle w:val="FootnoteText"/>
        <w:spacing w:before="0" w:beforeAutospacing="0" w:afterAutospacing="0"/>
        <w:jc w:val="left"/>
        <w:rPr>
          <w:rFonts w:ascii="Cambria" w:hAnsi="Cambria"/>
          <w:sz w:val="22"/>
          <w:szCs w:val="22"/>
          <w:lang w:val="en-US"/>
        </w:rPr>
      </w:pPr>
      <w:r w:rsidRPr="00F9134B">
        <w:rPr>
          <w:rFonts w:ascii="Cambria" w:hAnsi="Cambria"/>
          <w:sz w:val="22"/>
          <w:szCs w:val="22"/>
        </w:rPr>
        <w:t>European Commission. Commission staff working document. Albania 2021 Report Page 129</w:t>
      </w:r>
    </w:p>
    <w:p w14:paraId="59807FB4" w14:textId="77777777" w:rsidR="006C27D0" w:rsidRPr="00F9134B" w:rsidRDefault="006C27D0" w:rsidP="00F9134B">
      <w:pPr>
        <w:pStyle w:val="FootnoteText"/>
        <w:spacing w:before="0" w:beforeAutospacing="0" w:afterAutospacing="0"/>
        <w:rPr>
          <w:rFonts w:ascii="Cambria" w:hAnsi="Cambria"/>
          <w:sz w:val="22"/>
          <w:szCs w:val="22"/>
          <w:lang w:val="en-US"/>
        </w:rPr>
      </w:pPr>
    </w:p>
    <w:p w14:paraId="31B01387"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hAnsi="Cambria"/>
          <w:sz w:val="22"/>
          <w:szCs w:val="22"/>
          <w:lang w:val="en-US"/>
        </w:rPr>
        <w:t>UN Women 2020, Albania Country Gender Equality Brief. https://albania.unwomen.org/en/digital-library/publications/2020/12/country-gender-equality-brief-albania-2020</w:t>
      </w:r>
    </w:p>
    <w:p w14:paraId="4AE9F48A" w14:textId="77777777" w:rsidR="006C27D0" w:rsidRPr="00F9134B" w:rsidRDefault="006C27D0" w:rsidP="00F9134B">
      <w:pPr>
        <w:spacing w:before="0" w:beforeAutospacing="0" w:after="0" w:afterAutospacing="0"/>
        <w:jc w:val="left"/>
      </w:pPr>
    </w:p>
    <w:p w14:paraId="0C572B73" w14:textId="77777777" w:rsidR="006C27D0" w:rsidRPr="00F9134B" w:rsidRDefault="006C27D0" w:rsidP="00F9134B">
      <w:pPr>
        <w:spacing w:before="0" w:beforeAutospacing="0" w:after="0" w:afterAutospacing="0"/>
        <w:jc w:val="left"/>
        <w:rPr>
          <w:rFonts w:eastAsia="Arial" w:cs="Arial"/>
          <w:lang w:val="en"/>
        </w:rPr>
      </w:pPr>
      <w:r w:rsidRPr="00F9134B">
        <w:t>Action shall be defined as contracts. New shall refer to the last year, based on the date on which they were signed (as illustrated in the excel file).</w:t>
      </w:r>
    </w:p>
    <w:p w14:paraId="072AA20A" w14:textId="77777777" w:rsidR="006C27D0" w:rsidRPr="00F9134B" w:rsidRDefault="006C27D0" w:rsidP="00F9134B">
      <w:pPr>
        <w:pStyle w:val="FootnoteText"/>
        <w:spacing w:before="0" w:beforeAutospacing="0" w:afterAutospacing="0"/>
        <w:jc w:val="left"/>
        <w:rPr>
          <w:rFonts w:ascii="Cambria" w:hAnsi="Cambria"/>
          <w:sz w:val="22"/>
          <w:szCs w:val="22"/>
        </w:rPr>
      </w:pPr>
    </w:p>
    <w:p w14:paraId="09970326" w14:textId="77777777" w:rsidR="006C27D0" w:rsidRPr="00F9134B" w:rsidRDefault="00DC02D5" w:rsidP="00F9134B">
      <w:pPr>
        <w:pStyle w:val="FootnoteText"/>
        <w:spacing w:before="0" w:beforeAutospacing="0" w:afterAutospacing="0"/>
        <w:jc w:val="left"/>
        <w:rPr>
          <w:rFonts w:ascii="Cambria" w:hAnsi="Cambria"/>
          <w:sz w:val="22"/>
          <w:szCs w:val="22"/>
          <w:lang w:val="en-US"/>
        </w:rPr>
      </w:pPr>
      <w:hyperlink r:id="rId23" w:history="1">
        <w:r w:rsidR="006C27D0" w:rsidRPr="00F9134B">
          <w:rPr>
            <w:rStyle w:val="Hyperlink"/>
            <w:rFonts w:ascii="Cambria" w:hAnsi="Cambria"/>
            <w:sz w:val="22"/>
            <w:szCs w:val="22"/>
          </w:rPr>
          <w:t>https://ec.europa.eu/neighbourhood-enlargement/enlargement-policy/overview-instrument-pre-accession-assistance/albania-financial-assistance-under-ipa-iii_en</w:t>
        </w:r>
      </w:hyperlink>
      <w:r w:rsidR="006C27D0" w:rsidRPr="00F9134B">
        <w:rPr>
          <w:rFonts w:ascii="Cambria" w:hAnsi="Cambria"/>
          <w:sz w:val="22"/>
          <w:szCs w:val="22"/>
        </w:rPr>
        <w:t xml:space="preserve"> </w:t>
      </w:r>
    </w:p>
    <w:p w14:paraId="01606E0C" w14:textId="77777777" w:rsidR="006C27D0" w:rsidRPr="00F9134B" w:rsidRDefault="006C27D0" w:rsidP="00F9134B">
      <w:pPr>
        <w:pStyle w:val="FootnoteText"/>
        <w:spacing w:before="0" w:beforeAutospacing="0" w:afterAutospacing="0"/>
        <w:jc w:val="left"/>
        <w:rPr>
          <w:rFonts w:ascii="Cambria" w:hAnsi="Cambria"/>
          <w:sz w:val="22"/>
          <w:szCs w:val="22"/>
          <w:lang w:val="en-US"/>
        </w:rPr>
      </w:pPr>
    </w:p>
    <w:p w14:paraId="7C17992A" w14:textId="771D9A3C" w:rsidR="006C27D0" w:rsidRDefault="006C27D0" w:rsidP="00F9134B">
      <w:pPr>
        <w:pStyle w:val="FootnoteText"/>
        <w:spacing w:before="0" w:beforeAutospacing="0" w:afterAutospacing="0"/>
        <w:jc w:val="left"/>
        <w:rPr>
          <w:rStyle w:val="Hyperlink"/>
          <w:rFonts w:ascii="Cambria" w:hAnsi="Cambria"/>
          <w:sz w:val="22"/>
          <w:szCs w:val="22"/>
        </w:rPr>
      </w:pPr>
      <w:r w:rsidRPr="00F9134B">
        <w:rPr>
          <w:rFonts w:ascii="Cambria" w:hAnsi="Cambria"/>
          <w:sz w:val="22"/>
          <w:szCs w:val="22"/>
          <w:lang w:val="en-US"/>
        </w:rPr>
        <w:t xml:space="preserve">INSTAT, 2020. Gender Equality Index for the Republic of Albania. Retrieved from </w:t>
      </w:r>
      <w:hyperlink r:id="rId24" w:history="1">
        <w:r w:rsidRPr="00F9134B">
          <w:rPr>
            <w:rStyle w:val="Hyperlink"/>
            <w:rFonts w:ascii="Cambria" w:hAnsi="Cambria"/>
            <w:sz w:val="22"/>
            <w:szCs w:val="22"/>
          </w:rPr>
          <w:t>http://www.instat.gov.al/en/publications/books/2020/gender-equality-index-for-the-republic-of-albania-2020/</w:t>
        </w:r>
      </w:hyperlink>
    </w:p>
    <w:p w14:paraId="2751457D" w14:textId="77777777" w:rsidR="00094C90" w:rsidRDefault="00094C90" w:rsidP="00094C90">
      <w:pPr>
        <w:ind w:left="360" w:hanging="360"/>
        <w:jc w:val="left"/>
        <w:rPr>
          <w:rFonts w:eastAsia="Calibri"/>
          <w:lang w:val="en-US"/>
        </w:rPr>
      </w:pPr>
      <w:r w:rsidRPr="00094C90">
        <w:rPr>
          <w:rFonts w:eastAsia="Calibri"/>
          <w:lang w:val="en-US"/>
        </w:rPr>
        <w:t>INSTAT. 2021. Men and Women in Albania 2020. Online:</w:t>
      </w:r>
    </w:p>
    <w:p w14:paraId="40C5F9F5" w14:textId="56AAA216" w:rsidR="00094C90" w:rsidRPr="00AE0C48" w:rsidRDefault="00DC02D5" w:rsidP="00094C90">
      <w:pPr>
        <w:ind w:left="360" w:hanging="360"/>
        <w:jc w:val="left"/>
        <w:rPr>
          <w:rStyle w:val="Hyperlink"/>
        </w:rPr>
      </w:pPr>
      <w:hyperlink r:id="rId25" w:history="1">
        <w:r w:rsidR="00094C90" w:rsidRPr="000C66A7">
          <w:rPr>
            <w:rStyle w:val="Hyperlink"/>
          </w:rPr>
          <w:t>http://www.instat.gov.al/media/8713/burra-dhe-gra.pdf</w:t>
        </w:r>
      </w:hyperlink>
    </w:p>
    <w:p w14:paraId="72BD3787" w14:textId="77777777" w:rsidR="00094C90" w:rsidRDefault="00094C90" w:rsidP="00094C90">
      <w:pPr>
        <w:spacing w:before="0" w:beforeAutospacing="0" w:after="0" w:afterAutospacing="0"/>
        <w:rPr>
          <w:rFonts w:cs="Tahoma"/>
        </w:rPr>
      </w:pPr>
    </w:p>
    <w:p w14:paraId="061301F3" w14:textId="248739B2" w:rsidR="00094C90" w:rsidRPr="00F9134B" w:rsidRDefault="00094C90" w:rsidP="00094C90">
      <w:pPr>
        <w:spacing w:before="0" w:beforeAutospacing="0" w:after="0" w:afterAutospacing="0"/>
      </w:pPr>
      <w:r w:rsidRPr="00AE0C48">
        <w:rPr>
          <w:rFonts w:cs="Tahoma"/>
        </w:rPr>
        <w:t xml:space="preserve">Albanian Government. 2015. </w:t>
      </w:r>
      <w:r w:rsidRPr="00AE0C48">
        <w:rPr>
          <w:rFonts w:cs="Tahoma"/>
          <w:i/>
          <w:iCs/>
        </w:rPr>
        <w:t>National Strategy on Development and Integration II</w:t>
      </w:r>
      <w:r w:rsidRPr="00AE0C48">
        <w:rPr>
          <w:rFonts w:cs="Tahoma"/>
        </w:rPr>
        <w:t xml:space="preserve">. Online: </w:t>
      </w:r>
      <w:hyperlink r:id="rId26" w:history="1">
        <w:r w:rsidRPr="00AE0C48">
          <w:rPr>
            <w:rStyle w:val="Hyperlink"/>
            <w:rFonts w:cs="Tahoma"/>
          </w:rPr>
          <w:t>https://shtetiweb.org/wp-content/uploads/2014/06/NSDI_2014-2020_version_JUne-2013.pdf</w:t>
        </w:r>
      </w:hyperlink>
    </w:p>
    <w:p w14:paraId="2314BA93" w14:textId="77777777" w:rsidR="00094C90" w:rsidRPr="00F9134B" w:rsidRDefault="00094C90" w:rsidP="00F9134B">
      <w:pPr>
        <w:pStyle w:val="FootnoteText"/>
        <w:spacing w:before="0" w:beforeAutospacing="0" w:afterAutospacing="0"/>
        <w:jc w:val="left"/>
        <w:rPr>
          <w:rFonts w:ascii="Cambria" w:hAnsi="Cambria"/>
          <w:sz w:val="22"/>
          <w:szCs w:val="22"/>
          <w:lang w:val="en-US"/>
        </w:rPr>
      </w:pPr>
    </w:p>
    <w:p w14:paraId="6CCD4383" w14:textId="77777777" w:rsidR="006C27D0" w:rsidRPr="00F9134B" w:rsidRDefault="006C27D0" w:rsidP="00F9134B">
      <w:pPr>
        <w:pStyle w:val="FootnoteText"/>
        <w:spacing w:before="0" w:beforeAutospacing="0" w:afterAutospacing="0"/>
        <w:jc w:val="left"/>
        <w:rPr>
          <w:rFonts w:ascii="Cambria" w:hAnsi="Cambria"/>
          <w:sz w:val="22"/>
          <w:szCs w:val="22"/>
          <w:lang w:val="en-US"/>
        </w:rPr>
      </w:pPr>
    </w:p>
    <w:p w14:paraId="6B6A8066" w14:textId="003E303D" w:rsidR="006C27D0" w:rsidRPr="00F9134B" w:rsidRDefault="006C27D0" w:rsidP="00F9134B">
      <w:pPr>
        <w:pStyle w:val="FootnoteText"/>
        <w:spacing w:before="0" w:beforeAutospacing="0" w:afterAutospacing="0"/>
        <w:jc w:val="left"/>
        <w:rPr>
          <w:rFonts w:ascii="Cambria" w:hAnsi="Cambria"/>
          <w:sz w:val="22"/>
          <w:szCs w:val="22"/>
          <w:lang w:val="en-US"/>
        </w:rPr>
      </w:pPr>
      <w:r w:rsidRPr="00F9134B">
        <w:rPr>
          <w:rFonts w:ascii="Cambria" w:hAnsi="Cambria"/>
          <w:sz w:val="22"/>
          <w:szCs w:val="22"/>
          <w:lang w:val="en-US"/>
        </w:rPr>
        <w:t xml:space="preserve">See EU For Justice Action: </w:t>
      </w:r>
      <w:hyperlink r:id="rId27" w:history="1">
        <w:r w:rsidRPr="00F9134B">
          <w:rPr>
            <w:rStyle w:val="Hyperlink"/>
            <w:rFonts w:ascii="Cambria" w:hAnsi="Cambria"/>
            <w:sz w:val="22"/>
            <w:szCs w:val="22"/>
            <w:lang w:val="en-US"/>
          </w:rPr>
          <w:t>https://ec.europa.eu/neighbourhood-enlargement/system/files/2022-01/C_2021_9730_F1_ANNEX_EN_V1_P1_1674609.PDF</w:t>
        </w:r>
      </w:hyperlink>
      <w:r w:rsidRPr="00F9134B">
        <w:rPr>
          <w:rFonts w:ascii="Cambria" w:hAnsi="Cambria"/>
          <w:sz w:val="22"/>
          <w:szCs w:val="22"/>
          <w:lang w:val="en-US"/>
        </w:rPr>
        <w:t xml:space="preserve"> </w:t>
      </w:r>
    </w:p>
    <w:p w14:paraId="6FCCB22D" w14:textId="77777777" w:rsidR="006C27D0" w:rsidRPr="00F9134B" w:rsidRDefault="006C27D0" w:rsidP="00F9134B">
      <w:pPr>
        <w:pStyle w:val="FootnoteText"/>
        <w:spacing w:before="0" w:beforeAutospacing="0" w:afterAutospacing="0"/>
        <w:rPr>
          <w:rFonts w:ascii="Cambria" w:eastAsia="Times New Roman" w:hAnsi="Cambria"/>
          <w:sz w:val="22"/>
          <w:szCs w:val="22"/>
        </w:rPr>
      </w:pPr>
    </w:p>
    <w:p w14:paraId="1ADC6E19"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eastAsia="Times New Roman" w:hAnsi="Cambria"/>
          <w:sz w:val="22"/>
          <w:szCs w:val="22"/>
        </w:rPr>
        <w:t>See the full Action Document here:</w:t>
      </w:r>
      <w:r w:rsidRPr="00F9134B">
        <w:rPr>
          <w:rFonts w:ascii="Cambria" w:hAnsi="Cambria"/>
          <w:sz w:val="22"/>
          <w:szCs w:val="22"/>
          <w:lang w:val="en-US"/>
        </w:rPr>
        <w:t xml:space="preserve"> </w:t>
      </w:r>
      <w:hyperlink r:id="rId28" w:history="1">
        <w:r w:rsidRPr="00F9134B">
          <w:rPr>
            <w:rStyle w:val="Hyperlink"/>
            <w:rFonts w:ascii="Cambria" w:hAnsi="Cambria"/>
            <w:sz w:val="22"/>
            <w:szCs w:val="22"/>
            <w:lang w:val="en-US"/>
          </w:rPr>
          <w:t>https://ec.europa.eu/neighbourhood-enlargement/system/files/2022-01/C_2021_9730_F1_ANNEX_EN_V1_P1_1674609.PDF</w:t>
        </w:r>
      </w:hyperlink>
      <w:r w:rsidRPr="00F9134B">
        <w:rPr>
          <w:rStyle w:val="Hyperlink"/>
          <w:rFonts w:ascii="Cambria" w:hAnsi="Cambria"/>
          <w:sz w:val="22"/>
          <w:szCs w:val="22"/>
          <w:lang w:val="en-US"/>
        </w:rPr>
        <w:t xml:space="preserve"> </w:t>
      </w:r>
    </w:p>
    <w:p w14:paraId="15787167" w14:textId="77777777" w:rsidR="006C27D0" w:rsidRPr="00F9134B" w:rsidRDefault="006C27D0" w:rsidP="00F9134B">
      <w:pPr>
        <w:pStyle w:val="FootnoteText"/>
        <w:spacing w:before="0" w:beforeAutospacing="0" w:afterAutospacing="0"/>
        <w:rPr>
          <w:rFonts w:ascii="Cambria" w:eastAsia="Times New Roman" w:hAnsi="Cambria"/>
          <w:sz w:val="22"/>
          <w:szCs w:val="22"/>
        </w:rPr>
      </w:pPr>
    </w:p>
    <w:p w14:paraId="48A3385C"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eastAsia="Times New Roman" w:hAnsi="Cambria"/>
          <w:sz w:val="22"/>
          <w:szCs w:val="22"/>
        </w:rPr>
        <w:t>See the full text of the Action Document here:</w:t>
      </w:r>
      <w:r w:rsidRPr="00F9134B">
        <w:rPr>
          <w:rFonts w:ascii="Cambria" w:hAnsi="Cambria"/>
          <w:sz w:val="22"/>
          <w:szCs w:val="22"/>
          <w:lang w:val="en-US"/>
        </w:rPr>
        <w:t xml:space="preserve"> </w:t>
      </w:r>
      <w:hyperlink r:id="rId29" w:history="1">
        <w:r w:rsidRPr="00F9134B">
          <w:rPr>
            <w:rStyle w:val="Hyperlink"/>
            <w:rFonts w:ascii="Cambria" w:hAnsi="Cambria"/>
            <w:sz w:val="22"/>
            <w:szCs w:val="22"/>
            <w:lang w:val="en-US"/>
          </w:rPr>
          <w:t>https://ec.europa.eu/neighbourhood-enlargement/system/files/2022-01/C_2021_9730_F1_ANNEX_EN_V1_P1_1674629.PDF</w:t>
        </w:r>
      </w:hyperlink>
      <w:r w:rsidRPr="00F9134B">
        <w:rPr>
          <w:rFonts w:ascii="Cambria" w:hAnsi="Cambria"/>
          <w:sz w:val="22"/>
          <w:szCs w:val="22"/>
          <w:lang w:val="en-US"/>
        </w:rPr>
        <w:t xml:space="preserve"> </w:t>
      </w:r>
    </w:p>
    <w:p w14:paraId="38B60740" w14:textId="77777777" w:rsidR="006C27D0" w:rsidRPr="00F9134B" w:rsidRDefault="006C27D0" w:rsidP="00F9134B">
      <w:pPr>
        <w:pStyle w:val="FootnoteText"/>
        <w:spacing w:before="0" w:beforeAutospacing="0" w:afterAutospacing="0"/>
        <w:rPr>
          <w:rFonts w:ascii="Cambria" w:eastAsia="Times New Roman" w:hAnsi="Cambria"/>
          <w:sz w:val="22"/>
          <w:szCs w:val="22"/>
        </w:rPr>
      </w:pPr>
    </w:p>
    <w:p w14:paraId="3A40F652"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eastAsia="Times New Roman" w:hAnsi="Cambria"/>
          <w:sz w:val="22"/>
          <w:szCs w:val="22"/>
        </w:rPr>
        <w:t>See the full text of the Action Document here:</w:t>
      </w:r>
      <w:r w:rsidRPr="00F9134B">
        <w:rPr>
          <w:rFonts w:ascii="Cambria" w:hAnsi="Cambria"/>
          <w:sz w:val="22"/>
          <w:szCs w:val="22"/>
          <w:lang w:val="en-US"/>
        </w:rPr>
        <w:t xml:space="preserve"> </w:t>
      </w:r>
      <w:hyperlink r:id="rId30" w:history="1">
        <w:r w:rsidRPr="00F9134B">
          <w:rPr>
            <w:rStyle w:val="Hyperlink"/>
            <w:rFonts w:ascii="Cambria" w:hAnsi="Cambria"/>
            <w:sz w:val="22"/>
            <w:szCs w:val="22"/>
            <w:lang w:val="en-US"/>
          </w:rPr>
          <w:t>https://ec.europa.eu/neighbourhood-enlargement/system/files/2022-01/C_2021_9730_F1_ANNEX_EN_V1_P1_1674649.PDF</w:t>
        </w:r>
      </w:hyperlink>
      <w:r w:rsidRPr="00F9134B">
        <w:rPr>
          <w:rFonts w:ascii="Cambria" w:hAnsi="Cambria"/>
          <w:sz w:val="22"/>
          <w:szCs w:val="22"/>
          <w:lang w:val="en-US"/>
        </w:rPr>
        <w:t xml:space="preserve"> </w:t>
      </w:r>
    </w:p>
    <w:p w14:paraId="693679FC" w14:textId="77777777" w:rsidR="006C27D0" w:rsidRPr="00F9134B" w:rsidRDefault="006C27D0" w:rsidP="00F9134B">
      <w:pPr>
        <w:pStyle w:val="FootnoteText"/>
        <w:spacing w:before="0" w:beforeAutospacing="0" w:afterAutospacing="0"/>
        <w:rPr>
          <w:rFonts w:ascii="Cambria" w:hAnsi="Cambria"/>
          <w:sz w:val="22"/>
          <w:szCs w:val="22"/>
          <w:lang w:val="en-US"/>
        </w:rPr>
      </w:pPr>
    </w:p>
    <w:p w14:paraId="69F29C59"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hAnsi="Cambria"/>
          <w:sz w:val="22"/>
          <w:szCs w:val="22"/>
          <w:lang w:val="en-US"/>
        </w:rPr>
        <w:t xml:space="preserve">See the full text of the Action Document here: </w:t>
      </w:r>
      <w:hyperlink r:id="rId31" w:history="1">
        <w:r w:rsidRPr="00F9134B">
          <w:rPr>
            <w:rStyle w:val="Hyperlink"/>
            <w:rFonts w:ascii="Cambria" w:hAnsi="Cambria"/>
            <w:sz w:val="22"/>
            <w:szCs w:val="22"/>
            <w:lang w:val="en-US"/>
          </w:rPr>
          <w:t>https://ec.europa.eu/neighbourhood-enlargement/system/files/2022-01/C_2021_9730_F1_ANNEX_EN_V1_P1_1674689.PDF</w:t>
        </w:r>
      </w:hyperlink>
      <w:r w:rsidRPr="00F9134B">
        <w:rPr>
          <w:rFonts w:ascii="Cambria" w:hAnsi="Cambria"/>
          <w:sz w:val="22"/>
          <w:szCs w:val="22"/>
          <w:lang w:val="en-US"/>
        </w:rPr>
        <w:t xml:space="preserve"> </w:t>
      </w:r>
    </w:p>
    <w:p w14:paraId="1B650070" w14:textId="77777777" w:rsidR="006C27D0" w:rsidRPr="00F9134B" w:rsidRDefault="006C27D0" w:rsidP="00F9134B">
      <w:pPr>
        <w:pStyle w:val="FootnoteText"/>
        <w:spacing w:before="0" w:beforeAutospacing="0" w:afterAutospacing="0"/>
        <w:jc w:val="left"/>
        <w:rPr>
          <w:rFonts w:ascii="Cambria" w:hAnsi="Cambria"/>
          <w:sz w:val="22"/>
          <w:szCs w:val="22"/>
        </w:rPr>
      </w:pPr>
    </w:p>
    <w:p w14:paraId="0CCE9711" w14:textId="77777777" w:rsidR="006C27D0" w:rsidRPr="00F9134B" w:rsidRDefault="006C27D0" w:rsidP="00F9134B">
      <w:pPr>
        <w:pStyle w:val="FootnoteText"/>
        <w:spacing w:before="0" w:beforeAutospacing="0" w:afterAutospacing="0"/>
        <w:jc w:val="left"/>
        <w:rPr>
          <w:rFonts w:ascii="Cambria" w:hAnsi="Cambria"/>
          <w:sz w:val="22"/>
          <w:szCs w:val="22"/>
          <w:lang w:val="en-US"/>
        </w:rPr>
      </w:pPr>
      <w:r w:rsidRPr="00F9134B">
        <w:rPr>
          <w:rFonts w:ascii="Cambria" w:hAnsi="Cambria"/>
          <w:sz w:val="22"/>
          <w:szCs w:val="22"/>
        </w:rPr>
        <w:lastRenderedPageBreak/>
        <w:t xml:space="preserve">See here the minutes of the meeting: </w:t>
      </w:r>
      <w:hyperlink r:id="rId32" w:history="1">
        <w:r w:rsidRPr="00F9134B">
          <w:rPr>
            <w:rStyle w:val="Hyperlink"/>
            <w:rFonts w:ascii="Cambria" w:hAnsi="Cambria"/>
            <w:sz w:val="22"/>
            <w:szCs w:val="22"/>
          </w:rPr>
          <w:t>https://resourcecentre.al/wp-content/uploads/2020/03/Have-you-say-in-IPA-III_Feedback.pdf</w:t>
        </w:r>
      </w:hyperlink>
      <w:r w:rsidRPr="00F9134B">
        <w:rPr>
          <w:rFonts w:ascii="Cambria" w:hAnsi="Cambria"/>
          <w:sz w:val="22"/>
          <w:szCs w:val="22"/>
        </w:rPr>
        <w:t xml:space="preserve"> </w:t>
      </w:r>
    </w:p>
    <w:p w14:paraId="6C861A80" w14:textId="77777777" w:rsidR="006C27D0" w:rsidRPr="00F9134B" w:rsidRDefault="006C27D0" w:rsidP="00F9134B">
      <w:pPr>
        <w:pStyle w:val="FootnoteText"/>
        <w:spacing w:before="0" w:beforeAutospacing="0" w:afterAutospacing="0"/>
        <w:jc w:val="left"/>
        <w:rPr>
          <w:rFonts w:ascii="Cambria" w:hAnsi="Cambria"/>
          <w:sz w:val="22"/>
          <w:szCs w:val="22"/>
          <w:lang w:val="en-US"/>
        </w:rPr>
      </w:pPr>
    </w:p>
    <w:p w14:paraId="6FB38A99" w14:textId="77777777" w:rsidR="006C27D0" w:rsidRPr="00F9134B" w:rsidRDefault="006C27D0" w:rsidP="00F9134B">
      <w:pPr>
        <w:pStyle w:val="FootnoteText"/>
        <w:spacing w:before="0" w:beforeAutospacing="0" w:afterAutospacing="0"/>
        <w:jc w:val="left"/>
        <w:rPr>
          <w:rFonts w:ascii="Cambria" w:hAnsi="Cambria"/>
          <w:sz w:val="22"/>
          <w:szCs w:val="22"/>
          <w:lang w:val="en-US"/>
        </w:rPr>
      </w:pPr>
      <w:r w:rsidRPr="00F9134B">
        <w:rPr>
          <w:rFonts w:ascii="Cambria" w:hAnsi="Cambria"/>
          <w:sz w:val="22"/>
          <w:szCs w:val="22"/>
          <w:lang w:val="en-US"/>
        </w:rPr>
        <w:t xml:space="preserve">See the document here: </w:t>
      </w:r>
      <w:hyperlink r:id="rId33" w:history="1">
        <w:r w:rsidRPr="00F9134B">
          <w:rPr>
            <w:rStyle w:val="Hyperlink"/>
            <w:rFonts w:ascii="Cambria" w:hAnsi="Cambria"/>
            <w:sz w:val="22"/>
            <w:szCs w:val="22"/>
            <w:lang w:val="en-US"/>
          </w:rPr>
          <w:t>https://konsultimipublik.gov.al/documents/RENJK_348_RENJK_348_IPA%20III%20DRAFT%20STRATEGIC%20RESPONSE%20ALBANIA_10%20May%202021.pdf</w:t>
        </w:r>
      </w:hyperlink>
      <w:r w:rsidRPr="00F9134B">
        <w:rPr>
          <w:rFonts w:ascii="Cambria" w:hAnsi="Cambria"/>
          <w:sz w:val="22"/>
          <w:szCs w:val="22"/>
          <w:lang w:val="en-US"/>
        </w:rPr>
        <w:t xml:space="preserve"> </w:t>
      </w:r>
    </w:p>
    <w:p w14:paraId="71AA732B" w14:textId="77777777" w:rsidR="006C27D0" w:rsidRPr="00F9134B" w:rsidRDefault="006C27D0" w:rsidP="00F9134B">
      <w:pPr>
        <w:pStyle w:val="FootnoteText"/>
        <w:spacing w:before="0" w:beforeAutospacing="0" w:afterAutospacing="0"/>
        <w:jc w:val="left"/>
        <w:rPr>
          <w:rFonts w:ascii="Cambria" w:hAnsi="Cambria"/>
          <w:sz w:val="22"/>
          <w:szCs w:val="22"/>
          <w:lang w:val="en-US"/>
        </w:rPr>
      </w:pPr>
    </w:p>
    <w:p w14:paraId="331129D7"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hAnsi="Cambria"/>
          <w:sz w:val="22"/>
          <w:szCs w:val="22"/>
          <w:lang w:val="en-US"/>
        </w:rPr>
        <w:t xml:space="preserve">UN Women Albania. 2020. Country Gender Equality Brief. </w:t>
      </w:r>
    </w:p>
    <w:p w14:paraId="347EE244" w14:textId="77777777" w:rsidR="006C27D0" w:rsidRPr="00F9134B" w:rsidRDefault="006C27D0" w:rsidP="00F9134B">
      <w:pPr>
        <w:pStyle w:val="FootnoteText"/>
        <w:spacing w:before="0" w:beforeAutospacing="0" w:afterAutospacing="0"/>
        <w:rPr>
          <w:rFonts w:ascii="Cambria" w:hAnsi="Cambria"/>
          <w:sz w:val="22"/>
          <w:szCs w:val="22"/>
          <w:lang w:val="en-US"/>
        </w:rPr>
      </w:pPr>
      <w:r w:rsidRPr="00F9134B">
        <w:rPr>
          <w:rFonts w:ascii="Cambria" w:hAnsi="Cambria"/>
          <w:sz w:val="22"/>
          <w:szCs w:val="22"/>
        </w:rPr>
        <w:t>Se</w:t>
      </w:r>
      <w:r w:rsidRPr="00F9134B">
        <w:rPr>
          <w:rFonts w:ascii="Cambria" w:hAnsi="Cambria"/>
          <w:sz w:val="22"/>
          <w:szCs w:val="22"/>
          <w:lang w:val="en-US"/>
        </w:rPr>
        <w:t xml:space="preserve">e the structure of the ministry here: </w:t>
      </w:r>
      <w:hyperlink r:id="rId34" w:history="1">
        <w:r w:rsidRPr="00F9134B">
          <w:rPr>
            <w:rStyle w:val="Hyperlink"/>
            <w:rFonts w:ascii="Cambria" w:hAnsi="Cambria"/>
            <w:sz w:val="22"/>
            <w:szCs w:val="22"/>
            <w:lang w:val="en-US"/>
          </w:rPr>
          <w:t>https://punetejashtme.gov.al/wp-content/uploads/2021/11/2020-11-04-struktura-e-re-OK-me-KS-MEPJ-3.pdf</w:t>
        </w:r>
      </w:hyperlink>
      <w:r w:rsidRPr="00F9134B">
        <w:rPr>
          <w:rFonts w:ascii="Cambria" w:hAnsi="Cambria"/>
          <w:sz w:val="22"/>
          <w:szCs w:val="22"/>
          <w:lang w:val="en-US"/>
        </w:rPr>
        <w:t xml:space="preserve"> </w:t>
      </w:r>
    </w:p>
    <w:p w14:paraId="02BB1749" w14:textId="1C2E5B5B" w:rsidR="006C27D0" w:rsidRDefault="006C27D0" w:rsidP="00F9134B">
      <w:pPr>
        <w:spacing w:before="0" w:beforeAutospacing="0" w:after="0" w:afterAutospacing="0"/>
      </w:pPr>
    </w:p>
    <w:p w14:paraId="397360D1" w14:textId="1A55F297" w:rsidR="00094C90" w:rsidRDefault="00094C90" w:rsidP="00F9134B">
      <w:pPr>
        <w:spacing w:before="0" w:beforeAutospacing="0" w:after="0" w:afterAutospacing="0"/>
      </w:pPr>
    </w:p>
    <w:p w14:paraId="5E78F10F" w14:textId="77777777" w:rsidR="006C27D0" w:rsidRPr="00F9134B" w:rsidRDefault="006C27D0" w:rsidP="00F9134B">
      <w:pPr>
        <w:spacing w:before="0" w:beforeAutospacing="0" w:after="0" w:afterAutospacing="0"/>
      </w:pPr>
    </w:p>
    <w:p w14:paraId="2A05B944" w14:textId="77777777" w:rsidR="006C27D0" w:rsidRPr="00F9134B" w:rsidRDefault="006C27D0" w:rsidP="00F9134B">
      <w:pPr>
        <w:spacing w:before="0" w:beforeAutospacing="0" w:after="0" w:afterAutospacing="0"/>
      </w:pPr>
    </w:p>
    <w:sectPr w:rsidR="006C27D0" w:rsidRPr="00F9134B" w:rsidSect="003630C6">
      <w:footerReference w:type="default" r:id="rId35"/>
      <w:headerReference w:type="first" r:id="rId36"/>
      <w:footerReference w:type="first" r:id="rId37"/>
      <w:pgSz w:w="12240" w:h="15840"/>
      <w:pgMar w:top="1440" w:right="1440" w:bottom="1440" w:left="1440" w:header="720" w:footer="32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A4FD8" w14:textId="77777777" w:rsidR="005D7015" w:rsidRDefault="005D7015" w:rsidP="00330DA5">
      <w:pPr>
        <w:spacing w:after="0"/>
      </w:pPr>
      <w:r>
        <w:separator/>
      </w:r>
    </w:p>
  </w:endnote>
  <w:endnote w:type="continuationSeparator" w:id="0">
    <w:p w14:paraId="41AF36F7" w14:textId="77777777" w:rsidR="005D7015" w:rsidRDefault="005D7015" w:rsidP="00330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833" w14:textId="77777777" w:rsidR="009A2FEC" w:rsidRDefault="009A2FEC">
    <w:pPr>
      <w:pStyle w:val="Footer"/>
      <w:jc w:val="center"/>
    </w:pPr>
    <w:r>
      <w:fldChar w:fldCharType="begin"/>
    </w:r>
    <w:r>
      <w:instrText xml:space="preserve"> PAGE   \* MERGEFORMAT </w:instrText>
    </w:r>
    <w:r>
      <w:fldChar w:fldCharType="separate"/>
    </w:r>
    <w:r w:rsidR="003B1723">
      <w:rPr>
        <w:noProof/>
      </w:rPr>
      <w:t>16</w:t>
    </w:r>
    <w:r>
      <w:rPr>
        <w:noProof/>
      </w:rPr>
      <w:fldChar w:fldCharType="end"/>
    </w:r>
  </w:p>
  <w:p w14:paraId="066570BF" w14:textId="77777777" w:rsidR="00A9750E" w:rsidRPr="00043E9E" w:rsidRDefault="00A9750E" w:rsidP="00330DA5">
    <w:pPr>
      <w:pStyle w:val="Footer"/>
      <w:jc w:val="right"/>
      <w:rPr>
        <w:rFonts w:cs="Tahom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E16C" w14:textId="50ABA424" w:rsidR="00A9750E" w:rsidRPr="00E204ED" w:rsidRDefault="00DF2F1D" w:rsidP="00DC02D5">
    <w:pPr>
      <w:pStyle w:val="Footer"/>
    </w:pPr>
    <w:bookmarkStart w:id="5" w:name="_Hlk74748861"/>
    <w:bookmarkStart w:id="6" w:name="_Hlk74748862"/>
    <w:r>
      <w:rPr>
        <w:noProof/>
      </w:rPr>
      <mc:AlternateContent>
        <mc:Choice Requires="wps">
          <w:drawing>
            <wp:anchor distT="0" distB="0" distL="114300" distR="114300" simplePos="0" relativeHeight="251659776" behindDoc="0" locked="0" layoutInCell="1" allowOverlap="1" wp14:anchorId="00554457" wp14:editId="5883DEB7">
              <wp:simplePos x="0" y="0"/>
              <wp:positionH relativeFrom="margin">
                <wp:posOffset>0</wp:posOffset>
              </wp:positionH>
              <wp:positionV relativeFrom="paragraph">
                <wp:posOffset>-53975</wp:posOffset>
              </wp:positionV>
              <wp:extent cx="971550" cy="295275"/>
              <wp:effectExtent l="0" t="0" r="0" b="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295275"/>
                      </a:xfrm>
                      <a:prstGeom prst="rect">
                        <a:avLst/>
                      </a:prstGeom>
                      <a:noFill/>
                      <a:ln>
                        <a:noFill/>
                      </a:ln>
                    </wps:spPr>
                    <wps:txbx>
                      <w:txbxContent>
                        <w:p w14:paraId="3D5DCD6D" w14:textId="63C4DAEF" w:rsidR="00E204ED" w:rsidRPr="00F65410" w:rsidRDefault="00E204ED" w:rsidP="00E204ED">
                          <w:pPr>
                            <w:pStyle w:val="NormalWeb"/>
                            <w:spacing w:before="0" w:beforeAutospacing="0" w:after="160" w:afterAutospacing="0" w:line="256" w:lineRule="auto"/>
                            <w:rPr>
                              <w:rFonts w:ascii="Calibri" w:hAnsi="Calibri" w:cs="Calibri"/>
                              <w:sz w:val="15"/>
                              <w:szCs w:val="15"/>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0554457" id="Rectangle 28" o:spid="_x0000_s1027" style="position:absolute;left:0;text-align:left;margin-left:0;margin-top:-4.25pt;width:76.5pt;height:23.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" filled="f" stroked="f">
              <v:textbox inset="0,0,0,0">
                <w:txbxContent>
                  <w:p w14:paraId="3D5DCD6D" w14:textId="63C4DAEF" w:rsidR="00E204ED" w:rsidRPr="00F65410" w:rsidRDefault="00E204ED" w:rsidP="00E204ED">
                    <w:pPr>
                      <w:pStyle w:val="NormalWeb"/>
                      <w:spacing w:before="0" w:beforeAutospacing="0" w:after="160" w:afterAutospacing="0" w:line="256" w:lineRule="auto"/>
                      <w:rPr>
                        <w:rFonts w:ascii="Calibri" w:hAnsi="Calibri" w:cs="Calibri"/>
                        <w:sz w:val="15"/>
                        <w:szCs w:val="15"/>
                      </w:rPr>
                    </w:pPr>
                  </w:p>
                </w:txbxContent>
              </v:textbox>
              <w10:wrap anchorx="margin"/>
            </v:rect>
          </w:pict>
        </mc:Fallback>
      </mc:AlternateConten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53D90" w14:textId="77777777" w:rsidR="005D7015" w:rsidRDefault="005D7015" w:rsidP="00330DA5">
      <w:pPr>
        <w:spacing w:after="0"/>
      </w:pPr>
      <w:r>
        <w:separator/>
      </w:r>
    </w:p>
  </w:footnote>
  <w:footnote w:type="continuationSeparator" w:id="0">
    <w:p w14:paraId="481113D7" w14:textId="77777777" w:rsidR="005D7015" w:rsidRDefault="005D7015" w:rsidP="00330DA5">
      <w:pPr>
        <w:spacing w:after="0"/>
      </w:pPr>
      <w:r>
        <w:continuationSeparator/>
      </w:r>
    </w:p>
  </w:footnote>
  <w:footnote w:id="1">
    <w:p w14:paraId="7CAE4932" w14:textId="06110CB2" w:rsidR="002B3FDD" w:rsidRPr="002C1A64" w:rsidRDefault="002B3FDD"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European Movement Albania. 2022. Albania’s EU membership process. Online: </w:t>
      </w:r>
      <w:hyperlink r:id="rId1" w:history="1">
        <w:r w:rsidRPr="002C1A64">
          <w:rPr>
            <w:rStyle w:val="Hyperlink"/>
            <w:rFonts w:ascii="Cambria" w:hAnsi="Cambria"/>
            <w:sz w:val="16"/>
            <w:szCs w:val="16"/>
            <w:lang w:val="en-US"/>
          </w:rPr>
          <w:t>http://em-al.org/sq/albanias-eu-membership-process/</w:t>
        </w:r>
      </w:hyperlink>
      <w:r w:rsidRPr="002C1A64">
        <w:rPr>
          <w:rFonts w:ascii="Cambria" w:hAnsi="Cambria"/>
          <w:sz w:val="16"/>
          <w:szCs w:val="16"/>
          <w:lang w:val="en-US"/>
        </w:rPr>
        <w:t xml:space="preserve"> </w:t>
      </w:r>
    </w:p>
  </w:footnote>
  <w:footnote w:id="2">
    <w:p w14:paraId="622B8097" w14:textId="77777777" w:rsidR="00605113" w:rsidRPr="002C1A64" w:rsidRDefault="00605113" w:rsidP="00416592">
      <w:pPr>
        <w:pStyle w:val="FootnoteText"/>
        <w:spacing w:before="0" w:beforeAutospacing="0" w:afterAutospacing="0"/>
        <w:jc w:val="left"/>
        <w:rPr>
          <w:rFonts w:ascii="Cambria" w:hAnsi="Cambria"/>
          <w:sz w:val="16"/>
          <w:szCs w:val="16"/>
          <w:lang w:val="it-IT"/>
        </w:rPr>
      </w:pPr>
      <w:r w:rsidRPr="002C1A64">
        <w:rPr>
          <w:rStyle w:val="FootnoteReference"/>
          <w:rFonts w:ascii="Cambria" w:hAnsi="Cambria"/>
          <w:sz w:val="16"/>
          <w:szCs w:val="16"/>
        </w:rPr>
        <w:footnoteRef/>
      </w:r>
      <w:r w:rsidRPr="002C1A64">
        <w:rPr>
          <w:rFonts w:ascii="Cambria" w:hAnsi="Cambria"/>
          <w:sz w:val="16"/>
          <w:szCs w:val="16"/>
        </w:rPr>
        <w:t xml:space="preserve"> European Commission, Directorate-General for Neighbourhood and Enlargement Negotiations</w:t>
      </w:r>
      <w:r w:rsidRPr="002C1A64">
        <w:rPr>
          <w:rFonts w:ascii="Cambria" w:hAnsi="Cambria"/>
          <w:sz w:val="16"/>
          <w:szCs w:val="16"/>
          <w:lang w:val="en-US"/>
        </w:rPr>
        <w:t xml:space="preserve">Albania Report 2021, 2021. </w:t>
      </w:r>
      <w:r w:rsidRPr="002C1A64">
        <w:rPr>
          <w:rFonts w:ascii="Cambria" w:hAnsi="Cambria"/>
          <w:sz w:val="16"/>
          <w:szCs w:val="16"/>
          <w:lang w:val="it-IT"/>
        </w:rPr>
        <w:t xml:space="preserve">Online: </w:t>
      </w:r>
      <w:hyperlink r:id="rId2" w:history="1">
        <w:r w:rsidRPr="002C1A64">
          <w:rPr>
            <w:rStyle w:val="Hyperlink"/>
            <w:rFonts w:ascii="Cambria" w:hAnsi="Cambria"/>
            <w:sz w:val="16"/>
            <w:szCs w:val="16"/>
            <w:lang w:val="it-IT"/>
          </w:rPr>
          <w:t>https://ec.europa.eu/neighbourhood-enlargement/albania-report-2021_en</w:t>
        </w:r>
      </w:hyperlink>
      <w:r w:rsidRPr="002C1A64">
        <w:rPr>
          <w:rFonts w:ascii="Cambria" w:hAnsi="Cambria"/>
          <w:sz w:val="16"/>
          <w:szCs w:val="16"/>
          <w:lang w:val="it-IT"/>
        </w:rPr>
        <w:t xml:space="preserve"> </w:t>
      </w:r>
    </w:p>
  </w:footnote>
  <w:footnote w:id="3">
    <w:p w14:paraId="39F10988" w14:textId="77777777" w:rsidR="00605113" w:rsidRPr="002C1A64" w:rsidRDefault="00605113"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lang w:val="it-IT"/>
        </w:rPr>
        <w:t xml:space="preserve"> European Parliament. </w:t>
      </w:r>
      <w:r w:rsidRPr="002C1A64">
        <w:rPr>
          <w:rFonts w:ascii="Cambria" w:hAnsi="Cambria"/>
          <w:sz w:val="16"/>
          <w:szCs w:val="16"/>
          <w:lang w:val="en-US"/>
        </w:rPr>
        <w:t xml:space="preserve">May 2022. Press Release. Online: </w:t>
      </w:r>
      <w:hyperlink r:id="rId3" w:history="1">
        <w:r w:rsidRPr="002C1A64">
          <w:rPr>
            <w:rStyle w:val="Hyperlink"/>
            <w:rFonts w:ascii="Cambria" w:hAnsi="Cambria"/>
            <w:sz w:val="16"/>
            <w:szCs w:val="16"/>
            <w:lang w:val="en-US"/>
          </w:rPr>
          <w:t>https://www.europarl.europa.eu/news/en/press-room/20220517IPR29936/albania-and-north-macedonia-meps-demand-eu-starts-accession-talks</w:t>
        </w:r>
      </w:hyperlink>
      <w:r w:rsidRPr="002C1A64">
        <w:rPr>
          <w:rFonts w:ascii="Cambria" w:hAnsi="Cambria"/>
          <w:sz w:val="16"/>
          <w:szCs w:val="16"/>
          <w:lang w:val="en-US"/>
        </w:rPr>
        <w:t xml:space="preserve"> </w:t>
      </w:r>
    </w:p>
  </w:footnote>
  <w:footnote w:id="4">
    <w:p w14:paraId="355E4E3C" w14:textId="49D0ECA7" w:rsidR="1FF48150" w:rsidRPr="002C1A64" w:rsidRDefault="1FF48150" w:rsidP="00416592">
      <w:pPr>
        <w:spacing w:before="0" w:beforeAutospacing="0" w:after="0" w:afterAutospacing="0"/>
        <w:jc w:val="left"/>
        <w:rPr>
          <w:sz w:val="16"/>
          <w:szCs w:val="16"/>
          <w:lang w:val="en"/>
        </w:rPr>
      </w:pPr>
      <w:r w:rsidRPr="002C1A64">
        <w:rPr>
          <w:sz w:val="16"/>
          <w:szCs w:val="16"/>
        </w:rPr>
        <w:footnoteRef/>
      </w:r>
      <w:r w:rsidRPr="002C1A64">
        <w:rPr>
          <w:sz w:val="16"/>
          <w:szCs w:val="16"/>
        </w:rPr>
        <w:t xml:space="preserve"> For a chapter to be gender mainstreamed it would need to include specific reference to the situation and needs of women and girls in a particular sector/domain or/and specific gender aspects emerging from your analysis of a specific sector/domain. It should also, ideally, include an analysis of key barriers preventing progress in a specific sector/domain such as, for example, lack of housing, land and property rights for women’s access to economic rights.</w:t>
      </w:r>
    </w:p>
  </w:footnote>
  <w:footnote w:id="5">
    <w:p w14:paraId="36E3788C" w14:textId="382750FB" w:rsidR="1FF48150" w:rsidRPr="002C1A64" w:rsidRDefault="1FF48150" w:rsidP="00416592">
      <w:pPr>
        <w:spacing w:before="0" w:beforeAutospacing="0" w:after="0" w:afterAutospacing="0"/>
        <w:jc w:val="left"/>
        <w:rPr>
          <w:sz w:val="16"/>
          <w:szCs w:val="16"/>
        </w:rPr>
      </w:pPr>
      <w:r w:rsidRPr="002C1A64">
        <w:rPr>
          <w:sz w:val="16"/>
          <w:szCs w:val="16"/>
        </w:rPr>
        <w:footnoteRef/>
      </w:r>
      <w:r w:rsidRPr="002C1A64">
        <w:rPr>
          <w:sz w:val="16"/>
          <w:szCs w:val="16"/>
        </w:rPr>
        <w:t xml:space="preserve"> See article 2, 3 and 13 of the TEU. </w:t>
      </w:r>
    </w:p>
  </w:footnote>
  <w:footnote w:id="6">
    <w:p w14:paraId="39475CCE" w14:textId="77777777" w:rsidR="00BA145C" w:rsidRPr="002C1A64" w:rsidRDefault="00BA145C" w:rsidP="00416592">
      <w:pPr>
        <w:pStyle w:val="FootnoteText"/>
        <w:spacing w:before="0" w:beforeAutospacing="0" w:afterAutospacing="0"/>
        <w:jc w:val="left"/>
        <w:rPr>
          <w:rFonts w:ascii="Cambria" w:hAnsi="Cambria"/>
          <w:sz w:val="16"/>
          <w:szCs w:val="16"/>
          <w:lang w:val="fr-BE"/>
        </w:rPr>
      </w:pPr>
      <w:r w:rsidRPr="002C1A64">
        <w:rPr>
          <w:rStyle w:val="FootnoteReference"/>
          <w:rFonts w:ascii="Cambria" w:hAnsi="Cambria"/>
          <w:sz w:val="16"/>
          <w:szCs w:val="16"/>
        </w:rPr>
        <w:footnoteRef/>
      </w:r>
      <w:r w:rsidRPr="002C1A64">
        <w:rPr>
          <w:rFonts w:ascii="Cambria" w:hAnsi="Cambria"/>
          <w:sz w:val="16"/>
          <w:szCs w:val="16"/>
          <w:lang w:val="it-IT"/>
        </w:rPr>
        <w:t xml:space="preserve"> </w:t>
      </w:r>
      <w:proofErr w:type="spellStart"/>
      <w:r w:rsidRPr="002C1A64">
        <w:rPr>
          <w:rFonts w:ascii="Cambria" w:hAnsi="Cambria"/>
          <w:sz w:val="16"/>
          <w:szCs w:val="16"/>
          <w:lang w:val="fr-BE"/>
        </w:rPr>
        <w:t>Albania</w:t>
      </w:r>
      <w:proofErr w:type="spellEnd"/>
      <w:r w:rsidRPr="002C1A64">
        <w:rPr>
          <w:rFonts w:ascii="Cambria" w:hAnsi="Cambria"/>
          <w:sz w:val="16"/>
          <w:szCs w:val="16"/>
          <w:lang w:val="fr-BE"/>
        </w:rPr>
        <w:t xml:space="preserve"> 2021 Report, page 81. </w:t>
      </w:r>
    </w:p>
  </w:footnote>
  <w:footnote w:id="7">
    <w:p w14:paraId="37CFB375" w14:textId="6C18FAE7" w:rsidR="00510BD1" w:rsidRPr="002C1A64" w:rsidRDefault="00510BD1" w:rsidP="00416592">
      <w:pPr>
        <w:pStyle w:val="FootnoteText"/>
        <w:spacing w:before="0" w:beforeAutospacing="0" w:afterAutospacing="0"/>
        <w:jc w:val="left"/>
        <w:rPr>
          <w:rFonts w:ascii="Cambria" w:hAnsi="Cambria"/>
          <w:sz w:val="16"/>
          <w:szCs w:val="16"/>
          <w:lang w:val="it-IT"/>
        </w:rPr>
      </w:pPr>
      <w:r w:rsidRPr="002C1A64">
        <w:rPr>
          <w:rStyle w:val="FootnoteReference"/>
          <w:rFonts w:ascii="Cambria" w:hAnsi="Cambria"/>
          <w:sz w:val="16"/>
          <w:szCs w:val="16"/>
        </w:rPr>
        <w:footnoteRef/>
      </w:r>
      <w:r w:rsidRPr="002C1A64">
        <w:rPr>
          <w:rFonts w:ascii="Cambria" w:hAnsi="Cambria"/>
          <w:sz w:val="16"/>
          <w:szCs w:val="16"/>
          <w:lang w:val="it-IT"/>
        </w:rPr>
        <w:t xml:space="preserve"> </w:t>
      </w:r>
      <w:proofErr w:type="spellStart"/>
      <w:r w:rsidRPr="002C1A64">
        <w:rPr>
          <w:rFonts w:ascii="Cambria" w:hAnsi="Cambria"/>
          <w:sz w:val="16"/>
          <w:szCs w:val="16"/>
          <w:lang w:val="fr-BE"/>
        </w:rPr>
        <w:t>Albania</w:t>
      </w:r>
      <w:proofErr w:type="spellEnd"/>
      <w:r w:rsidRPr="002C1A64">
        <w:rPr>
          <w:rFonts w:ascii="Cambria" w:hAnsi="Cambria"/>
          <w:sz w:val="16"/>
          <w:szCs w:val="16"/>
          <w:lang w:val="fr-BE"/>
        </w:rPr>
        <w:t xml:space="preserve"> 2021 Report, page 6.</w:t>
      </w:r>
      <w:r w:rsidRPr="002C1A64">
        <w:rPr>
          <w:rFonts w:ascii="Cambria" w:hAnsi="Cambria"/>
          <w:sz w:val="16"/>
          <w:szCs w:val="16"/>
          <w:lang w:val="it-IT"/>
        </w:rPr>
        <w:t xml:space="preserve"> </w:t>
      </w:r>
    </w:p>
  </w:footnote>
  <w:footnote w:id="8">
    <w:p w14:paraId="7648A44E" w14:textId="77777777" w:rsidR="00C02F2E" w:rsidRPr="002C1A64" w:rsidRDefault="00C02F2E" w:rsidP="00416592">
      <w:pPr>
        <w:pStyle w:val="FootnoteText"/>
        <w:spacing w:before="0" w:beforeAutospacing="0" w:afterAutospacing="0"/>
        <w:jc w:val="left"/>
        <w:rPr>
          <w:rFonts w:ascii="Cambria" w:hAnsi="Cambria"/>
          <w:sz w:val="16"/>
          <w:szCs w:val="16"/>
          <w:lang w:val="fr-BE"/>
        </w:rPr>
      </w:pPr>
      <w:r w:rsidRPr="002C1A64">
        <w:rPr>
          <w:rStyle w:val="FootnoteReference"/>
          <w:rFonts w:ascii="Cambria" w:hAnsi="Cambria"/>
          <w:sz w:val="16"/>
          <w:szCs w:val="16"/>
        </w:rPr>
        <w:footnoteRef/>
      </w:r>
      <w:r w:rsidRPr="002C1A64">
        <w:rPr>
          <w:rFonts w:ascii="Cambria" w:hAnsi="Cambria"/>
          <w:sz w:val="16"/>
          <w:szCs w:val="16"/>
          <w:lang w:val="fr-BE"/>
        </w:rPr>
        <w:t xml:space="preserve"> </w:t>
      </w:r>
      <w:proofErr w:type="spellStart"/>
      <w:r w:rsidRPr="002C1A64">
        <w:rPr>
          <w:rFonts w:ascii="Cambria" w:hAnsi="Cambria"/>
          <w:sz w:val="16"/>
          <w:szCs w:val="16"/>
          <w:lang w:val="fr-BE"/>
        </w:rPr>
        <w:t>Albania</w:t>
      </w:r>
      <w:proofErr w:type="spellEnd"/>
      <w:r w:rsidRPr="002C1A64">
        <w:rPr>
          <w:rFonts w:ascii="Cambria" w:hAnsi="Cambria"/>
          <w:sz w:val="16"/>
          <w:szCs w:val="16"/>
          <w:lang w:val="fr-BE"/>
        </w:rPr>
        <w:t xml:space="preserve"> 2021 Report, page 13. </w:t>
      </w:r>
    </w:p>
  </w:footnote>
  <w:footnote w:id="9">
    <w:p w14:paraId="5BD431E1" w14:textId="77777777" w:rsidR="00C02F2E" w:rsidRPr="002C1A64" w:rsidRDefault="00C02F2E" w:rsidP="00416592">
      <w:pPr>
        <w:pStyle w:val="FootnoteText"/>
        <w:spacing w:before="0" w:beforeAutospacing="0" w:afterAutospacing="0"/>
        <w:jc w:val="left"/>
        <w:rPr>
          <w:rFonts w:ascii="Cambria" w:hAnsi="Cambria"/>
          <w:sz w:val="16"/>
          <w:szCs w:val="16"/>
          <w:lang w:val="fr-BE"/>
        </w:rPr>
      </w:pPr>
      <w:r w:rsidRPr="002C1A64">
        <w:rPr>
          <w:rStyle w:val="FootnoteReference"/>
          <w:rFonts w:ascii="Cambria" w:hAnsi="Cambria"/>
          <w:sz w:val="16"/>
          <w:szCs w:val="16"/>
        </w:rPr>
        <w:footnoteRef/>
      </w:r>
      <w:r w:rsidRPr="002C1A64">
        <w:rPr>
          <w:rFonts w:ascii="Cambria" w:hAnsi="Cambria"/>
          <w:sz w:val="16"/>
          <w:szCs w:val="16"/>
          <w:lang w:val="fr-BE"/>
        </w:rPr>
        <w:t xml:space="preserve"> </w:t>
      </w:r>
      <w:proofErr w:type="spellStart"/>
      <w:r w:rsidRPr="002C1A64">
        <w:rPr>
          <w:rFonts w:ascii="Cambria" w:hAnsi="Cambria"/>
          <w:sz w:val="16"/>
          <w:szCs w:val="16"/>
          <w:lang w:val="fr-BE"/>
        </w:rPr>
        <w:t>Albania</w:t>
      </w:r>
      <w:proofErr w:type="spellEnd"/>
      <w:r w:rsidRPr="002C1A64">
        <w:rPr>
          <w:rFonts w:ascii="Cambria" w:hAnsi="Cambria"/>
          <w:sz w:val="16"/>
          <w:szCs w:val="16"/>
          <w:lang w:val="fr-BE"/>
        </w:rPr>
        <w:t xml:space="preserve"> 2021 Report, page 11. </w:t>
      </w:r>
    </w:p>
  </w:footnote>
  <w:footnote w:id="10">
    <w:p w14:paraId="0E3D8496" w14:textId="24FB7741" w:rsidR="0089496C" w:rsidRPr="002C1A64" w:rsidRDefault="0089496C" w:rsidP="00416592">
      <w:pPr>
        <w:pStyle w:val="FootnoteText"/>
        <w:spacing w:before="0" w:beforeAutospacing="0" w:afterAutospacing="0"/>
        <w:jc w:val="left"/>
        <w:rPr>
          <w:rFonts w:ascii="Cambria" w:hAnsi="Cambria"/>
          <w:sz w:val="16"/>
          <w:szCs w:val="16"/>
          <w:lang w:val="fr-BE"/>
        </w:rPr>
      </w:pPr>
      <w:r w:rsidRPr="002C1A64">
        <w:rPr>
          <w:rStyle w:val="FootnoteReference"/>
          <w:rFonts w:ascii="Cambria" w:hAnsi="Cambria"/>
          <w:sz w:val="16"/>
          <w:szCs w:val="16"/>
        </w:rPr>
        <w:footnoteRef/>
      </w:r>
      <w:r w:rsidRPr="002C1A64">
        <w:rPr>
          <w:rFonts w:ascii="Cambria" w:hAnsi="Cambria"/>
          <w:sz w:val="16"/>
          <w:szCs w:val="16"/>
          <w:lang w:val="it-IT"/>
        </w:rPr>
        <w:t xml:space="preserve"> </w:t>
      </w:r>
      <w:proofErr w:type="spellStart"/>
      <w:r w:rsidRPr="002C1A64">
        <w:rPr>
          <w:rFonts w:ascii="Cambria" w:hAnsi="Cambria"/>
          <w:sz w:val="16"/>
          <w:szCs w:val="16"/>
          <w:lang w:val="fr-BE"/>
        </w:rPr>
        <w:t>Albania</w:t>
      </w:r>
      <w:proofErr w:type="spellEnd"/>
      <w:r w:rsidRPr="002C1A64">
        <w:rPr>
          <w:rFonts w:ascii="Cambria" w:hAnsi="Cambria"/>
          <w:sz w:val="16"/>
          <w:szCs w:val="16"/>
          <w:lang w:val="fr-BE"/>
        </w:rPr>
        <w:t xml:space="preserve"> 2021 Report, page 34.</w:t>
      </w:r>
    </w:p>
  </w:footnote>
  <w:footnote w:id="11">
    <w:p w14:paraId="1AFC7801" w14:textId="39BEC1FD" w:rsidR="0089496C" w:rsidRPr="002C1A64" w:rsidRDefault="0089496C" w:rsidP="00416592">
      <w:pPr>
        <w:pStyle w:val="FootnoteText"/>
        <w:spacing w:before="0" w:beforeAutospacing="0" w:afterAutospacing="0"/>
        <w:jc w:val="left"/>
        <w:rPr>
          <w:rFonts w:ascii="Cambria" w:hAnsi="Cambria"/>
          <w:sz w:val="16"/>
          <w:szCs w:val="16"/>
          <w:lang w:val="it-IT"/>
        </w:rPr>
      </w:pPr>
      <w:r w:rsidRPr="002C1A64">
        <w:rPr>
          <w:rStyle w:val="FootnoteReference"/>
          <w:rFonts w:ascii="Cambria" w:hAnsi="Cambria"/>
          <w:sz w:val="16"/>
          <w:szCs w:val="16"/>
        </w:rPr>
        <w:footnoteRef/>
      </w:r>
      <w:r w:rsidRPr="002C1A64">
        <w:rPr>
          <w:rFonts w:ascii="Cambria" w:hAnsi="Cambria"/>
          <w:sz w:val="16"/>
          <w:szCs w:val="16"/>
          <w:lang w:val="it-IT"/>
        </w:rPr>
        <w:t xml:space="preserve"> </w:t>
      </w:r>
      <w:proofErr w:type="spellStart"/>
      <w:r w:rsidRPr="002C1A64">
        <w:rPr>
          <w:rFonts w:ascii="Cambria" w:hAnsi="Cambria"/>
          <w:sz w:val="16"/>
          <w:szCs w:val="16"/>
          <w:lang w:val="fr-BE"/>
        </w:rPr>
        <w:t>Albania</w:t>
      </w:r>
      <w:proofErr w:type="spellEnd"/>
      <w:r w:rsidRPr="002C1A64">
        <w:rPr>
          <w:rFonts w:ascii="Cambria" w:hAnsi="Cambria"/>
          <w:sz w:val="16"/>
          <w:szCs w:val="16"/>
          <w:lang w:val="fr-BE"/>
        </w:rPr>
        <w:t xml:space="preserve"> 2021 Report, page 50</w:t>
      </w:r>
    </w:p>
  </w:footnote>
  <w:footnote w:id="12">
    <w:p w14:paraId="194A2376" w14:textId="4E3F4C6C" w:rsidR="0089496C" w:rsidRPr="002C1A64" w:rsidRDefault="0089496C"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INSTAT, 2020. Gender Equality Index for Albania. Retrieved from http://www.instat.gov.al/media/6661/gender_equality_index_for_the_republic_of_albania_2020.pdf</w:t>
      </w:r>
    </w:p>
  </w:footnote>
  <w:footnote w:id="13">
    <w:p w14:paraId="768A7427" w14:textId="77777777" w:rsidR="0011558A" w:rsidRPr="002C1A64" w:rsidRDefault="0011558A" w:rsidP="00416592">
      <w:pPr>
        <w:spacing w:before="0" w:beforeAutospacing="0" w:after="0" w:afterAutospacing="0"/>
        <w:jc w:val="left"/>
        <w:rPr>
          <w:sz w:val="16"/>
          <w:szCs w:val="16"/>
        </w:rPr>
      </w:pPr>
      <w:r w:rsidRPr="002C1A64">
        <w:rPr>
          <w:rStyle w:val="FootnoteReference"/>
          <w:rFonts w:eastAsia="Calibri"/>
          <w:sz w:val="16"/>
          <w:szCs w:val="16"/>
        </w:rPr>
        <w:footnoteRef/>
      </w:r>
      <w:r w:rsidRPr="002C1A64">
        <w:rPr>
          <w:sz w:val="16"/>
          <w:szCs w:val="16"/>
        </w:rPr>
        <w:t xml:space="preserve"> The index measures gender equality in six core domains: work, money, knowledge, time, power, health, and two additional domains: intersecting inequalities and violence. Statistics on external migration and asylum are partly aligned with the EU legislation. Crime statistics are published on a quarterly basis.</w:t>
      </w:r>
    </w:p>
    <w:p w14:paraId="38970031" w14:textId="77777777" w:rsidR="0011558A" w:rsidRPr="002C1A64" w:rsidRDefault="0011558A" w:rsidP="00416592">
      <w:pPr>
        <w:pStyle w:val="FootnoteText"/>
        <w:spacing w:before="0" w:beforeAutospacing="0" w:afterAutospacing="0"/>
        <w:jc w:val="left"/>
        <w:rPr>
          <w:rFonts w:ascii="Cambria" w:hAnsi="Cambria"/>
          <w:sz w:val="16"/>
          <w:szCs w:val="16"/>
          <w:lang w:val="en-US"/>
        </w:rPr>
      </w:pPr>
    </w:p>
  </w:footnote>
  <w:footnote w:id="14">
    <w:p w14:paraId="3D02940B" w14:textId="77777777" w:rsidR="00771662" w:rsidRPr="002C1A64" w:rsidRDefault="00771662"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Subsection of the Ministry’s website focusing on EU integration: </w:t>
      </w:r>
      <w:hyperlink r:id="rId4" w:history="1">
        <w:r w:rsidRPr="002C1A64">
          <w:rPr>
            <w:rStyle w:val="Hyperlink"/>
            <w:rFonts w:ascii="Cambria" w:hAnsi="Cambria"/>
            <w:sz w:val="16"/>
            <w:szCs w:val="16"/>
            <w:lang w:val="en-US"/>
          </w:rPr>
          <w:t>http://integrimi-ne-be.punetejashtme.gov.al/</w:t>
        </w:r>
      </w:hyperlink>
      <w:r w:rsidRPr="002C1A64">
        <w:rPr>
          <w:rFonts w:ascii="Cambria" w:hAnsi="Cambria"/>
          <w:sz w:val="16"/>
          <w:szCs w:val="16"/>
          <w:lang w:val="en-US"/>
        </w:rPr>
        <w:t xml:space="preserve"> </w:t>
      </w:r>
    </w:p>
  </w:footnote>
  <w:footnote w:id="15">
    <w:p w14:paraId="39D06D28" w14:textId="77777777" w:rsidR="007F4A2F" w:rsidRPr="002C1A64" w:rsidRDefault="007F4A2F"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See meeting notes here: </w:t>
      </w:r>
      <w:hyperlink r:id="rId5" w:history="1">
        <w:r w:rsidRPr="002C1A64">
          <w:rPr>
            <w:rStyle w:val="Hyperlink"/>
            <w:rFonts w:ascii="Cambria" w:hAnsi="Cambria"/>
            <w:sz w:val="16"/>
            <w:szCs w:val="16"/>
            <w:lang w:val="en-US"/>
          </w:rPr>
          <w:t>http://integrimi-ne-be.punetejashtme.gov.al/anetaresimi-ne-be/takime-te-perbashketa/</w:t>
        </w:r>
      </w:hyperlink>
      <w:r w:rsidRPr="002C1A64">
        <w:rPr>
          <w:rFonts w:ascii="Cambria" w:hAnsi="Cambria"/>
          <w:sz w:val="16"/>
          <w:szCs w:val="16"/>
          <w:lang w:val="en-US"/>
        </w:rPr>
        <w:t xml:space="preserve"> </w:t>
      </w:r>
    </w:p>
  </w:footnote>
  <w:footnote w:id="16">
    <w:p w14:paraId="0BF865C3" w14:textId="77777777" w:rsidR="007F4A2F" w:rsidRPr="002C1A64" w:rsidRDefault="007F4A2F"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See the meeting notes here: </w:t>
      </w:r>
      <w:hyperlink r:id="rId6" w:history="1">
        <w:r w:rsidRPr="002C1A64">
          <w:rPr>
            <w:rStyle w:val="Hyperlink"/>
            <w:rFonts w:ascii="Cambria" w:hAnsi="Cambria"/>
            <w:sz w:val="16"/>
            <w:szCs w:val="16"/>
            <w:lang w:val="en-US"/>
          </w:rPr>
          <w:t>http://integrimi-ne-be.punetejashtme.gov.al/wp-content/uploads/2021/12/Nenkomiteti-i-13_2021-JFS-_-Deklarata-per-shtyp-ne-shqip.pdf</w:t>
        </w:r>
      </w:hyperlink>
      <w:r w:rsidRPr="002C1A64">
        <w:rPr>
          <w:rFonts w:ascii="Cambria" w:hAnsi="Cambria"/>
          <w:sz w:val="16"/>
          <w:szCs w:val="16"/>
          <w:lang w:val="en-US"/>
        </w:rPr>
        <w:t xml:space="preserve"> </w:t>
      </w:r>
    </w:p>
  </w:footnote>
  <w:footnote w:id="17">
    <w:p w14:paraId="53648F3A" w14:textId="77777777" w:rsidR="007F4A2F" w:rsidRPr="002C1A64" w:rsidRDefault="007F4A2F"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European Commission. Commission staff working document. Albania 2021 Report Page 129</w:t>
      </w:r>
    </w:p>
  </w:footnote>
  <w:footnote w:id="18">
    <w:p w14:paraId="0772C88F" w14:textId="7B849B53" w:rsidR="008F0572" w:rsidRPr="002C1A64" w:rsidRDefault="008F0572"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Interview with the EUD gender focal point.</w:t>
      </w:r>
    </w:p>
  </w:footnote>
  <w:footnote w:id="19">
    <w:p w14:paraId="0DB50FE8" w14:textId="510C53AA" w:rsidR="00FF0413" w:rsidRPr="002C1A64" w:rsidRDefault="00FF0413"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UN Women 2020, Albania Country Gender Equality Brief. https://albania.unwomen.org/en/digital-library/publications/2020/12/country-gender-equality-brief-albania-2020</w:t>
      </w:r>
    </w:p>
  </w:footnote>
  <w:footnote w:id="20">
    <w:p w14:paraId="526F6905" w14:textId="3901BC2C" w:rsidR="00397F94" w:rsidRPr="002C1A64" w:rsidRDefault="00397F94" w:rsidP="00416592">
      <w:pPr>
        <w:pStyle w:val="FootnoteText"/>
        <w:spacing w:before="0" w:beforeAutospacing="0" w:afterAutospacing="0"/>
        <w:jc w:val="left"/>
        <w:rPr>
          <w:rFonts w:ascii="Cambria" w:hAnsi="Cambria"/>
          <w:sz w:val="16"/>
          <w:szCs w:val="16"/>
        </w:rPr>
      </w:pPr>
      <w:r w:rsidRPr="002C1A64">
        <w:rPr>
          <w:rStyle w:val="FootnoteReference"/>
          <w:rFonts w:ascii="Cambria" w:hAnsi="Cambria"/>
          <w:sz w:val="16"/>
          <w:szCs w:val="16"/>
        </w:rPr>
        <w:footnoteRef/>
      </w:r>
      <w:r w:rsidRPr="002C1A64">
        <w:rPr>
          <w:rFonts w:ascii="Cambria" w:hAnsi="Cambria"/>
          <w:sz w:val="16"/>
          <w:szCs w:val="16"/>
        </w:rPr>
        <w:t xml:space="preserve"> Interview with EUD Gender Focal Point. </w:t>
      </w:r>
    </w:p>
  </w:footnote>
  <w:footnote w:id="21">
    <w:p w14:paraId="0F26197C" w14:textId="77777777" w:rsidR="0011558A" w:rsidRPr="002C1A64" w:rsidRDefault="0011558A" w:rsidP="00416592">
      <w:pPr>
        <w:spacing w:before="0" w:beforeAutospacing="0" w:after="0" w:afterAutospacing="0"/>
        <w:jc w:val="left"/>
        <w:rPr>
          <w:rFonts w:eastAsia="Arial" w:cs="Arial"/>
          <w:sz w:val="16"/>
          <w:szCs w:val="16"/>
          <w:lang w:val="en"/>
        </w:rPr>
      </w:pPr>
      <w:r w:rsidRPr="002C1A64">
        <w:rPr>
          <w:rStyle w:val="FootnoteReference"/>
          <w:rFonts w:eastAsia="Calibri"/>
          <w:sz w:val="16"/>
          <w:szCs w:val="16"/>
        </w:rPr>
        <w:footnoteRef/>
      </w:r>
      <w:r w:rsidRPr="002C1A64">
        <w:rPr>
          <w:sz w:val="16"/>
          <w:szCs w:val="16"/>
        </w:rPr>
        <w:t xml:space="preserve"> Action shall be defined as contracts. New shall refer to the last year, based on the date on which they were signed (as illustrated in the excel file).</w:t>
      </w:r>
    </w:p>
  </w:footnote>
  <w:footnote w:id="22">
    <w:p w14:paraId="6C18E61E" w14:textId="77777777" w:rsidR="00BF68A7" w:rsidRPr="002C1A64" w:rsidRDefault="00BF68A7"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hyperlink r:id="rId7" w:history="1">
        <w:r w:rsidRPr="002C1A64">
          <w:rPr>
            <w:rStyle w:val="Hyperlink"/>
            <w:rFonts w:ascii="Cambria" w:hAnsi="Cambria"/>
            <w:sz w:val="16"/>
            <w:szCs w:val="16"/>
          </w:rPr>
          <w:t>https://ec.europa.eu/neighbourhood-enlargement/enlargement-policy/overview-instrument-pre-accession-assistance/albania-financial-assistance-under-ipa-iii_en</w:t>
        </w:r>
      </w:hyperlink>
      <w:r w:rsidRPr="002C1A64">
        <w:rPr>
          <w:rFonts w:ascii="Cambria" w:hAnsi="Cambria"/>
          <w:sz w:val="16"/>
          <w:szCs w:val="16"/>
        </w:rPr>
        <w:t xml:space="preserve"> </w:t>
      </w:r>
    </w:p>
  </w:footnote>
  <w:footnote w:id="23">
    <w:p w14:paraId="7A7601B3" w14:textId="2549F9BE" w:rsidR="00DA4E8A" w:rsidRPr="002C1A64" w:rsidRDefault="00DA4E8A" w:rsidP="00416592">
      <w:pPr>
        <w:pStyle w:val="FootnoteText"/>
        <w:spacing w:before="0" w:beforeAutospacing="0" w:afterAutospacing="0"/>
        <w:jc w:val="left"/>
        <w:rPr>
          <w:rFonts w:ascii="Cambria" w:hAnsi="Cambria"/>
          <w:sz w:val="16"/>
          <w:szCs w:val="16"/>
        </w:rPr>
      </w:pPr>
      <w:r w:rsidRPr="002C1A64">
        <w:rPr>
          <w:rStyle w:val="FootnoteReference"/>
          <w:rFonts w:ascii="Cambria" w:hAnsi="Cambria"/>
          <w:sz w:val="16"/>
          <w:szCs w:val="16"/>
        </w:rPr>
        <w:footnoteRef/>
      </w:r>
      <w:r w:rsidRPr="002C1A64">
        <w:rPr>
          <w:rFonts w:ascii="Cambria" w:hAnsi="Cambria"/>
          <w:sz w:val="16"/>
          <w:szCs w:val="16"/>
        </w:rPr>
        <w:t xml:space="preserve"> </w:t>
      </w:r>
      <w:hyperlink r:id="rId8" w:history="1">
        <w:r w:rsidRPr="002C1A64">
          <w:rPr>
            <w:rStyle w:val="Hyperlink"/>
            <w:rFonts w:ascii="Cambria" w:hAnsi="Cambria"/>
            <w:sz w:val="16"/>
            <w:szCs w:val="16"/>
          </w:rPr>
          <w:t>Handbook on the OECD DAC Gender Equality Policy Marker</w:t>
        </w:r>
      </w:hyperlink>
      <w:r w:rsidRPr="002C1A64">
        <w:rPr>
          <w:rFonts w:ascii="Cambria" w:hAnsi="Cambria"/>
          <w:sz w:val="16"/>
          <w:szCs w:val="16"/>
        </w:rPr>
        <w:t xml:space="preserve">, OECD (2016).  </w:t>
      </w:r>
    </w:p>
  </w:footnote>
  <w:footnote w:id="24">
    <w:p w14:paraId="12410204" w14:textId="77777777" w:rsidR="00BF68A7" w:rsidRPr="002C1A64" w:rsidRDefault="00BF68A7"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See EU For Justice Action: </w:t>
      </w:r>
      <w:hyperlink r:id="rId9" w:history="1">
        <w:r w:rsidRPr="002C1A64">
          <w:rPr>
            <w:rStyle w:val="Hyperlink"/>
            <w:rFonts w:ascii="Cambria" w:hAnsi="Cambria"/>
            <w:sz w:val="16"/>
            <w:szCs w:val="16"/>
            <w:lang w:val="en-US"/>
          </w:rPr>
          <w:t>https://ec.europa.eu/neighbourhood-enlargement/system/files/2022-01/C_2021_9730_F1_ANNEX_EN_V1_P1_1674609.PDF</w:t>
        </w:r>
      </w:hyperlink>
      <w:r w:rsidRPr="002C1A64">
        <w:rPr>
          <w:rFonts w:ascii="Cambria" w:hAnsi="Cambria"/>
          <w:sz w:val="16"/>
          <w:szCs w:val="16"/>
          <w:lang w:val="en-US"/>
        </w:rPr>
        <w:t xml:space="preserve"> </w:t>
      </w:r>
    </w:p>
  </w:footnote>
  <w:footnote w:id="25">
    <w:p w14:paraId="62F70355" w14:textId="77777777" w:rsidR="00BF68A7" w:rsidRPr="002C1A64" w:rsidRDefault="00BF68A7"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eastAsia="Times New Roman" w:hAnsi="Cambria"/>
          <w:sz w:val="16"/>
          <w:szCs w:val="16"/>
        </w:rPr>
        <w:t>See the full Action Document here:</w:t>
      </w:r>
      <w:r w:rsidRPr="002C1A64">
        <w:rPr>
          <w:rFonts w:ascii="Cambria" w:hAnsi="Cambria"/>
          <w:sz w:val="16"/>
          <w:szCs w:val="16"/>
          <w:lang w:val="en-US"/>
        </w:rPr>
        <w:t xml:space="preserve"> </w:t>
      </w:r>
      <w:hyperlink r:id="rId10" w:history="1">
        <w:r w:rsidRPr="002C1A64">
          <w:rPr>
            <w:rStyle w:val="Hyperlink"/>
            <w:rFonts w:ascii="Cambria" w:hAnsi="Cambria"/>
            <w:sz w:val="16"/>
            <w:szCs w:val="16"/>
            <w:lang w:val="en-US"/>
          </w:rPr>
          <w:t>https://ec.europa.eu/neighbourhood-enlargement/system/files/2022-01/C_2021_9730_F1_ANNEX_EN_V1_P1_1674609.PDF</w:t>
        </w:r>
      </w:hyperlink>
      <w:r w:rsidRPr="002C1A64">
        <w:rPr>
          <w:rStyle w:val="Hyperlink"/>
          <w:rFonts w:ascii="Cambria" w:hAnsi="Cambria"/>
          <w:sz w:val="16"/>
          <w:szCs w:val="16"/>
          <w:lang w:val="en-US"/>
        </w:rPr>
        <w:t xml:space="preserve"> </w:t>
      </w:r>
    </w:p>
  </w:footnote>
  <w:footnote w:id="26">
    <w:p w14:paraId="3947B057" w14:textId="77777777" w:rsidR="00BF68A7" w:rsidRPr="002C1A64" w:rsidRDefault="00BF68A7"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eastAsia="Times New Roman" w:hAnsi="Cambria"/>
          <w:sz w:val="16"/>
          <w:szCs w:val="16"/>
        </w:rPr>
        <w:t>See the full text of the Action Document here:</w:t>
      </w:r>
      <w:r w:rsidRPr="002C1A64">
        <w:rPr>
          <w:rFonts w:ascii="Cambria" w:hAnsi="Cambria"/>
          <w:sz w:val="16"/>
          <w:szCs w:val="16"/>
          <w:lang w:val="en-US"/>
        </w:rPr>
        <w:t xml:space="preserve"> </w:t>
      </w:r>
      <w:hyperlink r:id="rId11" w:history="1">
        <w:r w:rsidRPr="002C1A64">
          <w:rPr>
            <w:rStyle w:val="Hyperlink"/>
            <w:rFonts w:ascii="Cambria" w:hAnsi="Cambria"/>
            <w:sz w:val="16"/>
            <w:szCs w:val="16"/>
            <w:lang w:val="en-US"/>
          </w:rPr>
          <w:t>https://ec.europa.eu/neighbourhood-enlargement/system/files/2022-01/C_2021_9730_F1_ANNEX_EN_V1_P1_1674629.PDF</w:t>
        </w:r>
      </w:hyperlink>
      <w:r w:rsidRPr="002C1A64">
        <w:rPr>
          <w:rFonts w:ascii="Cambria" w:hAnsi="Cambria"/>
          <w:sz w:val="16"/>
          <w:szCs w:val="16"/>
          <w:lang w:val="en-US"/>
        </w:rPr>
        <w:t xml:space="preserve"> </w:t>
      </w:r>
    </w:p>
  </w:footnote>
  <w:footnote w:id="27">
    <w:p w14:paraId="0E44D8FE" w14:textId="77777777" w:rsidR="00BF68A7" w:rsidRPr="002C1A64" w:rsidRDefault="00BF68A7"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eastAsia="Times New Roman" w:hAnsi="Cambria"/>
          <w:sz w:val="16"/>
          <w:szCs w:val="16"/>
        </w:rPr>
        <w:t>See the full text of the Action Document here:</w:t>
      </w:r>
      <w:r w:rsidRPr="002C1A64">
        <w:rPr>
          <w:rFonts w:ascii="Cambria" w:hAnsi="Cambria"/>
          <w:sz w:val="16"/>
          <w:szCs w:val="16"/>
          <w:lang w:val="en-US"/>
        </w:rPr>
        <w:t xml:space="preserve"> </w:t>
      </w:r>
      <w:hyperlink r:id="rId12" w:history="1">
        <w:r w:rsidRPr="002C1A64">
          <w:rPr>
            <w:rStyle w:val="Hyperlink"/>
            <w:rFonts w:ascii="Cambria" w:hAnsi="Cambria"/>
            <w:sz w:val="16"/>
            <w:szCs w:val="16"/>
            <w:lang w:val="en-US"/>
          </w:rPr>
          <w:t>https://ec.europa.eu/neighbourhood-enlargement/system/files/2022-01/C_2021_9730_F1_ANNEX_EN_V1_P1_1674649.PDF</w:t>
        </w:r>
      </w:hyperlink>
      <w:r w:rsidRPr="002C1A64">
        <w:rPr>
          <w:rFonts w:ascii="Cambria" w:hAnsi="Cambria"/>
          <w:sz w:val="16"/>
          <w:szCs w:val="16"/>
          <w:lang w:val="en-US"/>
        </w:rPr>
        <w:t xml:space="preserve"> </w:t>
      </w:r>
    </w:p>
  </w:footnote>
  <w:footnote w:id="28">
    <w:p w14:paraId="02454485" w14:textId="77777777" w:rsidR="00BF68A7" w:rsidRPr="002C1A64" w:rsidRDefault="00BF68A7"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See the full text of the Action Document here: </w:t>
      </w:r>
      <w:hyperlink r:id="rId13" w:history="1">
        <w:r w:rsidRPr="002C1A64">
          <w:rPr>
            <w:rStyle w:val="Hyperlink"/>
            <w:rFonts w:ascii="Cambria" w:hAnsi="Cambria"/>
            <w:sz w:val="16"/>
            <w:szCs w:val="16"/>
            <w:lang w:val="en-US"/>
          </w:rPr>
          <w:t>https://ec.europa.eu/neighbourhood-enlargement/system/files/2022-01/C_2021_9730_F1_ANNEX_EN_V1_P1_1674689.PDF</w:t>
        </w:r>
      </w:hyperlink>
      <w:r w:rsidRPr="002C1A64">
        <w:rPr>
          <w:rFonts w:ascii="Cambria" w:hAnsi="Cambria"/>
          <w:sz w:val="16"/>
          <w:szCs w:val="16"/>
          <w:lang w:val="en-US"/>
        </w:rPr>
        <w:t xml:space="preserve"> </w:t>
      </w:r>
    </w:p>
  </w:footnote>
  <w:footnote w:id="29">
    <w:p w14:paraId="1D33B39D" w14:textId="77777777" w:rsidR="005F6540" w:rsidRPr="002C1A64" w:rsidRDefault="005F6540"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Albania 2020 Report, page 27. </w:t>
      </w:r>
    </w:p>
  </w:footnote>
  <w:footnote w:id="30">
    <w:p w14:paraId="60AEB7F1" w14:textId="77777777" w:rsidR="00397F94" w:rsidRPr="002C1A64" w:rsidRDefault="00397F94"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EC Progress Report for Albania, 2021. Page 26.</w:t>
      </w:r>
    </w:p>
  </w:footnote>
  <w:footnote w:id="31">
    <w:p w14:paraId="49809BC7" w14:textId="77777777" w:rsidR="00397F94" w:rsidRPr="002C1A64" w:rsidRDefault="00397F94"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EC Progress Report for Albania, 2020. Page 107. </w:t>
      </w:r>
    </w:p>
  </w:footnote>
  <w:footnote w:id="32">
    <w:p w14:paraId="65E5009A" w14:textId="77777777" w:rsidR="00397F94" w:rsidRPr="002C1A64" w:rsidRDefault="00397F94"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EC Progress Report for Albania, 2021. Page 95.</w:t>
      </w:r>
    </w:p>
  </w:footnote>
  <w:footnote w:id="33">
    <w:p w14:paraId="1D54EF96" w14:textId="77777777" w:rsidR="00397F94" w:rsidRPr="002C1A64" w:rsidRDefault="00397F94"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EC Progress Report for Albania, 2020. Page 93.</w:t>
      </w:r>
    </w:p>
  </w:footnote>
  <w:footnote w:id="34">
    <w:p w14:paraId="66FD2595" w14:textId="77777777" w:rsidR="0011558A" w:rsidRPr="002C1A64" w:rsidRDefault="0011558A"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EC Progress Report for Albania, 2021. Page 6</w:t>
      </w:r>
    </w:p>
  </w:footnote>
  <w:footnote w:id="35">
    <w:p w14:paraId="14DB0F47" w14:textId="77777777" w:rsidR="00903527" w:rsidRPr="002C1A64" w:rsidRDefault="00903527"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See here the minutes of the meeting: </w:t>
      </w:r>
      <w:hyperlink r:id="rId14" w:history="1">
        <w:r w:rsidR="008F641E" w:rsidRPr="002C1A64">
          <w:rPr>
            <w:rStyle w:val="Hyperlink"/>
            <w:rFonts w:ascii="Cambria" w:hAnsi="Cambria"/>
            <w:sz w:val="16"/>
            <w:szCs w:val="16"/>
          </w:rPr>
          <w:t>https://resourcecentre.al/wp-content/uploads/2020/03/Have-you-say-in-IPA-III_Feedback.pdf</w:t>
        </w:r>
      </w:hyperlink>
      <w:r w:rsidRPr="002C1A64">
        <w:rPr>
          <w:rFonts w:ascii="Cambria" w:hAnsi="Cambria"/>
          <w:sz w:val="16"/>
          <w:szCs w:val="16"/>
        </w:rPr>
        <w:t xml:space="preserve"> </w:t>
      </w:r>
    </w:p>
  </w:footnote>
  <w:footnote w:id="36">
    <w:p w14:paraId="32E5D0F0" w14:textId="77777777" w:rsidR="00150682" w:rsidRPr="002C1A64" w:rsidRDefault="00150682"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See the document here: </w:t>
      </w:r>
      <w:hyperlink r:id="rId15" w:history="1">
        <w:r w:rsidRPr="002C1A64">
          <w:rPr>
            <w:rStyle w:val="Hyperlink"/>
            <w:rFonts w:ascii="Cambria" w:hAnsi="Cambria"/>
            <w:sz w:val="16"/>
            <w:szCs w:val="16"/>
            <w:lang w:val="en-US"/>
          </w:rPr>
          <w:t>https://konsultimipublik.gov.al/documents/RENJK_348_RENJK_348_IPA%20III%20DRAFT%20STRATEGIC%20RESPONSE%20ALBANIA_10%20May%202021.pdf</w:t>
        </w:r>
      </w:hyperlink>
      <w:r w:rsidRPr="002C1A64">
        <w:rPr>
          <w:rFonts w:ascii="Cambria" w:hAnsi="Cambria"/>
          <w:sz w:val="16"/>
          <w:szCs w:val="16"/>
          <w:lang w:val="en-US"/>
        </w:rPr>
        <w:t xml:space="preserve"> </w:t>
      </w:r>
    </w:p>
  </w:footnote>
  <w:footnote w:id="37">
    <w:p w14:paraId="358D5F3B" w14:textId="77777777" w:rsidR="0011558A" w:rsidRPr="002C1A64" w:rsidRDefault="0011558A"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INSTAT, 2020. Gender Equality Index for the Republic of Albania. Retrieved from </w:t>
      </w:r>
      <w:hyperlink r:id="rId16" w:history="1">
        <w:r w:rsidRPr="002C1A64">
          <w:rPr>
            <w:rStyle w:val="Hyperlink"/>
            <w:rFonts w:ascii="Cambria" w:hAnsi="Cambria"/>
            <w:sz w:val="16"/>
            <w:szCs w:val="16"/>
          </w:rPr>
          <w:t>http://www.instat.gov.al/en/publications/books/2020/gender-equality-index-for-the-republic-of-albania-2020/</w:t>
        </w:r>
      </w:hyperlink>
    </w:p>
    <w:p w14:paraId="0B8B1E52" w14:textId="77777777" w:rsidR="0011558A" w:rsidRPr="002C1A64" w:rsidRDefault="0011558A" w:rsidP="00416592">
      <w:pPr>
        <w:pStyle w:val="FootnoteText"/>
        <w:spacing w:before="0" w:beforeAutospacing="0" w:afterAutospacing="0"/>
        <w:jc w:val="left"/>
        <w:rPr>
          <w:rFonts w:ascii="Cambria" w:hAnsi="Cambria"/>
          <w:sz w:val="16"/>
          <w:szCs w:val="16"/>
          <w:lang w:val="en-US"/>
        </w:rPr>
      </w:pPr>
    </w:p>
  </w:footnote>
  <w:footnote w:id="38">
    <w:p w14:paraId="42434B17" w14:textId="1A24DABB" w:rsidR="00DA4E8A" w:rsidRPr="002C1A64" w:rsidRDefault="00DA4E8A"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UN Women Albania. 2020. Country Gender Equality Brief.</w:t>
      </w:r>
    </w:p>
  </w:footnote>
  <w:footnote w:id="39">
    <w:p w14:paraId="1887F7B2" w14:textId="77777777" w:rsidR="0053444C" w:rsidRPr="002C1A64" w:rsidRDefault="0053444C" w:rsidP="00416592">
      <w:pPr>
        <w:pStyle w:val="FootnoteText"/>
        <w:spacing w:before="0" w:beforeAutospacing="0" w:afterAutospacing="0"/>
        <w:jc w:val="left"/>
        <w:rPr>
          <w:rFonts w:ascii="Cambria" w:hAnsi="Cambria"/>
          <w:sz w:val="16"/>
          <w:szCs w:val="16"/>
          <w:lang w:val="en-US"/>
        </w:rPr>
      </w:pPr>
      <w:r w:rsidRPr="002C1A64">
        <w:rPr>
          <w:rStyle w:val="FootnoteReference"/>
          <w:rFonts w:ascii="Cambria" w:hAnsi="Cambria"/>
          <w:sz w:val="16"/>
          <w:szCs w:val="16"/>
        </w:rPr>
        <w:footnoteRef/>
      </w:r>
      <w:r w:rsidRPr="002C1A64">
        <w:rPr>
          <w:rFonts w:ascii="Cambria" w:hAnsi="Cambria"/>
          <w:sz w:val="16"/>
          <w:szCs w:val="16"/>
        </w:rPr>
        <w:t xml:space="preserve"> </w:t>
      </w:r>
      <w:r w:rsidRPr="002C1A64">
        <w:rPr>
          <w:rFonts w:ascii="Cambria" w:hAnsi="Cambria"/>
          <w:sz w:val="16"/>
          <w:szCs w:val="16"/>
          <w:lang w:val="en-US"/>
        </w:rPr>
        <w:t xml:space="preserve">See the structure of the ministry here: </w:t>
      </w:r>
      <w:hyperlink r:id="rId17" w:history="1">
        <w:r w:rsidRPr="002C1A64">
          <w:rPr>
            <w:rStyle w:val="Hyperlink"/>
            <w:rFonts w:ascii="Cambria" w:hAnsi="Cambria"/>
            <w:sz w:val="16"/>
            <w:szCs w:val="16"/>
            <w:lang w:val="en-US"/>
          </w:rPr>
          <w:t>https://punetejashtme.gov.al/wp-content/uploads/2021/11/2020-11-04-struktura-e-re-OK-me-KS-MEPJ-3.pdf</w:t>
        </w:r>
      </w:hyperlink>
      <w:r w:rsidRPr="002C1A64">
        <w:rPr>
          <w:rFonts w:ascii="Cambria" w:hAnsi="Cambria"/>
          <w:sz w:val="16"/>
          <w:szCs w:val="16"/>
          <w:lang w:val="en-US"/>
        </w:rPr>
        <w:t xml:space="preserve"> </w:t>
      </w:r>
    </w:p>
  </w:footnote>
  <w:footnote w:id="40">
    <w:p w14:paraId="4BF926E4" w14:textId="11E3D397" w:rsidR="009A6287" w:rsidRPr="002C1A64" w:rsidRDefault="009A6287" w:rsidP="00416592">
      <w:pPr>
        <w:pStyle w:val="FootnoteText"/>
        <w:spacing w:before="0" w:beforeAutospacing="0" w:afterAutospacing="0"/>
        <w:jc w:val="left"/>
        <w:rPr>
          <w:rFonts w:ascii="Cambria" w:hAnsi="Cambria"/>
          <w:sz w:val="16"/>
          <w:szCs w:val="16"/>
          <w:lang w:val="it-IT"/>
        </w:rPr>
      </w:pPr>
      <w:r w:rsidRPr="002C1A64">
        <w:rPr>
          <w:rStyle w:val="FootnoteReference"/>
          <w:rFonts w:ascii="Cambria" w:hAnsi="Cambria"/>
          <w:sz w:val="16"/>
          <w:szCs w:val="16"/>
        </w:rPr>
        <w:footnoteRef/>
      </w:r>
      <w:r w:rsidRPr="002C1A64">
        <w:rPr>
          <w:rFonts w:ascii="Cambria" w:hAnsi="Cambria"/>
          <w:sz w:val="16"/>
          <w:szCs w:val="16"/>
          <w:lang w:val="it-IT"/>
        </w:rPr>
        <w:t xml:space="preserve"> </w:t>
      </w:r>
      <w:hyperlink r:id="rId18" w:history="1">
        <w:r w:rsidRPr="002C1A64">
          <w:rPr>
            <w:rStyle w:val="Hyperlink"/>
            <w:rFonts w:ascii="Cambria" w:hAnsi="Cambria"/>
            <w:sz w:val="16"/>
            <w:szCs w:val="16"/>
            <w:lang w:val="it-IT"/>
          </w:rPr>
          <w:t>Albania - financial assistance under IPA III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5C32" w14:textId="5AB73052" w:rsidR="00436921" w:rsidRDefault="00436921" w:rsidP="00436921">
    <w:pPr>
      <w:pStyle w:val="Header"/>
    </w:pPr>
  </w:p>
  <w:p w14:paraId="4209A2E3" w14:textId="779AAF33" w:rsidR="00436921" w:rsidRPr="00436921" w:rsidRDefault="00DF2F1D" w:rsidP="00436921">
    <w:pPr>
      <w:pStyle w:val="Header"/>
      <w:rPr>
        <w:rFonts w:eastAsia="Times New Roman"/>
      </w:rPr>
    </w:pPr>
    <w:r w:rsidRPr="00436921">
      <w:rPr>
        <w:rFonts w:eastAsia="Times New Roman"/>
        <w:noProof/>
      </w:rPr>
      <mc:AlternateContent>
        <mc:Choice Requires="wps">
          <w:drawing>
            <wp:anchor distT="0" distB="0" distL="114300" distR="114300" simplePos="0" relativeHeight="251656704" behindDoc="0" locked="0" layoutInCell="1" allowOverlap="1" wp14:anchorId="66841E69" wp14:editId="7B9C72B1">
              <wp:simplePos x="0" y="0"/>
              <wp:positionH relativeFrom="column">
                <wp:posOffset>-83820</wp:posOffset>
              </wp:positionH>
              <wp:positionV relativeFrom="paragraph">
                <wp:posOffset>569595</wp:posOffset>
              </wp:positionV>
              <wp:extent cx="5953125" cy="191770"/>
              <wp:effectExtent l="1905" t="0" r="0" b="635"/>
              <wp:wrapTight wrapText="bothSides">
                <wp:wrapPolygon edited="0">
                  <wp:start x="0" y="0"/>
                  <wp:lineTo x="0" y="0"/>
                  <wp:lineTo x="0" y="0"/>
                </wp:wrapPolygon>
              </wp:wrapTight>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282E39" w14:textId="77777777" w:rsidR="00436921" w:rsidRDefault="00436921" w:rsidP="00436921">
                          <w:pPr>
                            <w:pBdr>
                              <w:bottom w:val="single" w:sz="12" w:space="1" w:color="auto"/>
                            </w:pBdr>
                            <w:jc w:val="center"/>
                            <w:rPr>
                              <w:rFonts w:cs="Tahoma"/>
                              <w:sz w:val="15"/>
                              <w:szCs w:val="15"/>
                            </w:rPr>
                          </w:pPr>
                        </w:p>
                        <w:p w14:paraId="788215D3" w14:textId="77777777" w:rsidR="00436921" w:rsidRDefault="00436921" w:rsidP="00436921">
                          <w:pPr>
                            <w:jc w:val="center"/>
                            <w:rPr>
                              <w:rFonts w:cs="Tahoma"/>
                              <w:sz w:val="15"/>
                              <w:szCs w:val="15"/>
                            </w:rPr>
                          </w:pPr>
                        </w:p>
                        <w:p w14:paraId="318C26AE" w14:textId="77777777" w:rsidR="00436921" w:rsidRDefault="00436921" w:rsidP="00436921">
                          <w:pPr>
                            <w:jc w:val="center"/>
                            <w:rPr>
                              <w:rFonts w:cs="Tahoma"/>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6841E69" id="Text Box 14" o:spid="_x0000_s1029" type="#_x0000_t202" style="position:absolute;left:0;text-align:left;margin-left:-6.6pt;margin-top:44.85pt;width:468.75pt;height:1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" filled="f" stroked="f" strokeweight=".5pt">
              <v:textbox inset="0,0,0,0">
                <w:txbxContent>
                  <w:p w14:paraId="38282E39" w14:textId="77777777" w:rsidR="00436921" w:rsidRDefault="00436921" w:rsidP="00436921">
                    <w:pPr>
                      <w:pBdr>
                        <w:bottom w:val="single" w:sz="12" w:space="1" w:color="auto"/>
                      </w:pBdr>
                      <w:jc w:val="center"/>
                      <w:rPr>
                        <w:rFonts w:cs="Tahoma"/>
                        <w:sz w:val="15"/>
                        <w:szCs w:val="15"/>
                      </w:rPr>
                    </w:pPr>
                  </w:p>
                  <w:p w14:paraId="788215D3" w14:textId="77777777" w:rsidR="00436921" w:rsidRDefault="00436921" w:rsidP="00436921">
                    <w:pPr>
                      <w:jc w:val="center"/>
                      <w:rPr>
                        <w:rFonts w:cs="Tahoma"/>
                        <w:sz w:val="15"/>
                        <w:szCs w:val="15"/>
                      </w:rPr>
                    </w:pPr>
                  </w:p>
                  <w:p w14:paraId="318C26AE" w14:textId="77777777" w:rsidR="00436921" w:rsidRDefault="00436921" w:rsidP="00436921">
                    <w:pPr>
                      <w:jc w:val="center"/>
                      <w:rPr>
                        <w:rFonts w:cs="Tahoma"/>
                        <w:sz w:val="15"/>
                        <w:szCs w:val="15"/>
                      </w:rPr>
                    </w:pPr>
                  </w:p>
                </w:txbxContent>
              </v:textbox>
              <w10:wrap type="tight"/>
            </v:shape>
          </w:pict>
        </mc:Fallback>
      </mc:AlternateContent>
    </w:r>
  </w:p>
  <w:p w14:paraId="06BAA533" w14:textId="77777777" w:rsidR="00436921" w:rsidRDefault="00436921" w:rsidP="00436921">
    <w:pPr>
      <w:pStyle w:val="Header"/>
    </w:pPr>
  </w:p>
  <w:p w14:paraId="41605AFC" w14:textId="77777777" w:rsidR="00A9750E" w:rsidRPr="00436921" w:rsidRDefault="00A9750E" w:rsidP="00436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29F"/>
    <w:multiLevelType w:val="hybridMultilevel"/>
    <w:tmpl w:val="C0BE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62615"/>
    <w:multiLevelType w:val="hybridMultilevel"/>
    <w:tmpl w:val="2AB02BAC"/>
    <w:lvl w:ilvl="0" w:tplc="0DAA7A0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1092B"/>
    <w:multiLevelType w:val="hybridMultilevel"/>
    <w:tmpl w:val="C9C63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0619C"/>
    <w:multiLevelType w:val="multilevel"/>
    <w:tmpl w:val="B9520606"/>
    <w:lvl w:ilvl="0">
      <w:start w:val="1"/>
      <w:numFmt w:val="decimal"/>
      <w:lvlText w:val="%1"/>
      <w:lvlJc w:val="left"/>
      <w:pPr>
        <w:tabs>
          <w:tab w:val="num" w:pos="567"/>
        </w:tabs>
        <w:ind w:left="567" w:hanging="567"/>
      </w:pPr>
      <w:rPr>
        <w:rFonts w:cs="Times New Roman" w:hint="default"/>
      </w:rPr>
    </w:lvl>
    <w:lvl w:ilvl="1">
      <w:start w:val="1"/>
      <w:numFmt w:val="decimal"/>
      <w:pStyle w:val="pprag2-notoc"/>
      <w:lvlText w:val="%1.%2."/>
      <w:lvlJc w:val="left"/>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a"/>
      <w:lvlText w:val="%1.%2.%3."/>
      <w:lvlJc w:val="left"/>
      <w:pPr>
        <w:tabs>
          <w:tab w:val="num" w:pos="284"/>
        </w:tabs>
      </w:pPr>
      <w:rPr>
        <w:rFonts w:cs="Times New Roman" w:hint="default"/>
      </w:rPr>
    </w:lvl>
    <w:lvl w:ilvl="3">
      <w:start w:val="1"/>
      <w:numFmt w:val="decimal"/>
      <w:lvlText w:val="%1.%2.%3.%4."/>
      <w:lvlJc w:val="left"/>
      <w:pPr>
        <w:tabs>
          <w:tab w:val="num" w:pos="2880"/>
        </w:tabs>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sz w:val="20"/>
        <w:szCs w:val="20"/>
      </w:rPr>
    </w:lvl>
  </w:abstractNum>
  <w:abstractNum w:abstractNumId="4" w15:restartNumberingAfterBreak="0">
    <w:nsid w:val="21160EA5"/>
    <w:multiLevelType w:val="hybridMultilevel"/>
    <w:tmpl w:val="44827B5A"/>
    <w:lvl w:ilvl="0" w:tplc="C7EE7716">
      <w:start w:val="1"/>
      <w:numFmt w:val="decimal"/>
      <w:lvlText w:val="%1."/>
      <w:lvlJc w:val="left"/>
      <w:pPr>
        <w:ind w:left="720" w:hanging="360"/>
      </w:pPr>
      <w:rPr>
        <w:rFonts w:ascii="Calibri" w:hAnsi="Calibri"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E143F"/>
    <w:multiLevelType w:val="hybridMultilevel"/>
    <w:tmpl w:val="02607140"/>
    <w:lvl w:ilvl="0" w:tplc="0DAA7A08">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9094E"/>
    <w:multiLevelType w:val="hybridMultilevel"/>
    <w:tmpl w:val="2A462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611FB5"/>
    <w:multiLevelType w:val="hybridMultilevel"/>
    <w:tmpl w:val="8722AB90"/>
    <w:lvl w:ilvl="0" w:tplc="98765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692C3F"/>
    <w:multiLevelType w:val="hybridMultilevel"/>
    <w:tmpl w:val="64E0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7676E"/>
    <w:multiLevelType w:val="hybridMultilevel"/>
    <w:tmpl w:val="909C2080"/>
    <w:lvl w:ilvl="0" w:tplc="4E9055B4">
      <w:start w:val="1"/>
      <w:numFmt w:val="decimal"/>
      <w:lvlText w:val="%1."/>
      <w:lvlJc w:val="left"/>
      <w:pPr>
        <w:ind w:left="360" w:hanging="360"/>
      </w:pPr>
      <w:rPr>
        <w:rFonts w:ascii="Calibri" w:hAnsi="Calibri"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AA5E70"/>
    <w:multiLevelType w:val="hybridMultilevel"/>
    <w:tmpl w:val="89B8C292"/>
    <w:lvl w:ilvl="0" w:tplc="CF324436">
      <w:start w:val="1"/>
      <w:numFmt w:val="decimal"/>
      <w:lvlText w:val="%1."/>
      <w:lvlJc w:val="left"/>
      <w:pPr>
        <w:ind w:left="720" w:hanging="360"/>
      </w:pPr>
      <w:rPr>
        <w:rFonts w:ascii="Cambria" w:eastAsia="Cambria" w:hAnsi="Cambria" w:cs="Cambria"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CD0988"/>
    <w:multiLevelType w:val="hybridMultilevel"/>
    <w:tmpl w:val="E948199A"/>
    <w:lvl w:ilvl="0" w:tplc="9AD4265A">
      <w:start w:val="1"/>
      <w:numFmt w:val="decimal"/>
      <w:lvlText w:val="%1."/>
      <w:lvlJc w:val="left"/>
      <w:pPr>
        <w:ind w:left="360" w:hanging="360"/>
      </w:pPr>
      <w:rPr>
        <w:rFonts w:ascii="Calibri" w:hAnsi="Calibri"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E35A87"/>
    <w:multiLevelType w:val="hybridMultilevel"/>
    <w:tmpl w:val="6C98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A2A33"/>
    <w:multiLevelType w:val="hybridMultilevel"/>
    <w:tmpl w:val="B22A68A2"/>
    <w:lvl w:ilvl="0" w:tplc="AC7A3800">
      <w:start w:val="1"/>
      <w:numFmt w:val="decimal"/>
      <w:lvlText w:val="%1."/>
      <w:lvlJc w:val="left"/>
      <w:pPr>
        <w:ind w:left="720" w:hanging="360"/>
      </w:pPr>
      <w:rPr>
        <w:rFonts w:ascii="Calibri" w:hAnsi="Calibri"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B44955"/>
    <w:multiLevelType w:val="hybridMultilevel"/>
    <w:tmpl w:val="02607140"/>
    <w:lvl w:ilvl="0" w:tplc="0DAA7A08">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4E51FA"/>
    <w:multiLevelType w:val="hybridMultilevel"/>
    <w:tmpl w:val="FE747382"/>
    <w:lvl w:ilvl="0" w:tplc="D4A0A12E">
      <w:start w:val="1"/>
      <w:numFmt w:val="decimal"/>
      <w:lvlText w:val="%1."/>
      <w:lvlJc w:val="left"/>
      <w:pPr>
        <w:ind w:left="360" w:hanging="360"/>
      </w:pPr>
      <w:rPr>
        <w:rFonts w:ascii="Calibri" w:hAnsi="Calibri"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90787F"/>
    <w:multiLevelType w:val="hybridMultilevel"/>
    <w:tmpl w:val="0B806AFC"/>
    <w:lvl w:ilvl="0" w:tplc="9BE0558E">
      <w:start w:val="1"/>
      <w:numFmt w:val="decimal"/>
      <w:lvlText w:val="%1."/>
      <w:lvlJc w:val="left"/>
      <w:pPr>
        <w:ind w:left="360" w:hanging="360"/>
      </w:pPr>
      <w:rPr>
        <w:rFonts w:ascii="Calibri" w:hAnsi="Calibri" w:cs="Times New Roman"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B875F9"/>
    <w:multiLevelType w:val="hybridMultilevel"/>
    <w:tmpl w:val="27BE1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78BB6F5E"/>
    <w:multiLevelType w:val="hybridMultilevel"/>
    <w:tmpl w:val="5D285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0"/>
  </w:num>
  <w:num w:numId="15">
    <w:abstractNumId w:val="2"/>
  </w:num>
  <w:num w:numId="16">
    <w:abstractNumId w:val="7"/>
  </w:num>
  <w:num w:numId="17">
    <w:abstractNumId w:val="1"/>
  </w:num>
  <w:num w:numId="18">
    <w:abstractNumId w:val="8"/>
  </w:num>
  <w:num w:numId="19">
    <w:abstractNumId w:val="6"/>
  </w:num>
  <w:num w:numId="2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21"/>
    <w:rsid w:val="00000017"/>
    <w:rsid w:val="000076BA"/>
    <w:rsid w:val="00011E16"/>
    <w:rsid w:val="00012A33"/>
    <w:rsid w:val="0001490F"/>
    <w:rsid w:val="00017B21"/>
    <w:rsid w:val="0002312B"/>
    <w:rsid w:val="00023C34"/>
    <w:rsid w:val="00024294"/>
    <w:rsid w:val="00024D49"/>
    <w:rsid w:val="00026935"/>
    <w:rsid w:val="0005012E"/>
    <w:rsid w:val="00050CAD"/>
    <w:rsid w:val="00061FC3"/>
    <w:rsid w:val="00062682"/>
    <w:rsid w:val="00062AE3"/>
    <w:rsid w:val="00070E8F"/>
    <w:rsid w:val="000746CA"/>
    <w:rsid w:val="00084CBB"/>
    <w:rsid w:val="00090C57"/>
    <w:rsid w:val="0009209B"/>
    <w:rsid w:val="00094C90"/>
    <w:rsid w:val="00097316"/>
    <w:rsid w:val="000A2DA5"/>
    <w:rsid w:val="000A308A"/>
    <w:rsid w:val="000A3C89"/>
    <w:rsid w:val="000A3FA9"/>
    <w:rsid w:val="000A52A0"/>
    <w:rsid w:val="000A725F"/>
    <w:rsid w:val="000B1077"/>
    <w:rsid w:val="000B3350"/>
    <w:rsid w:val="000B5652"/>
    <w:rsid w:val="000C16FF"/>
    <w:rsid w:val="000C2B5E"/>
    <w:rsid w:val="000C34D2"/>
    <w:rsid w:val="000C39A1"/>
    <w:rsid w:val="000C3BAC"/>
    <w:rsid w:val="000C47F4"/>
    <w:rsid w:val="000C6FFE"/>
    <w:rsid w:val="000C7424"/>
    <w:rsid w:val="000D5C13"/>
    <w:rsid w:val="000D6C32"/>
    <w:rsid w:val="000D735E"/>
    <w:rsid w:val="000E1FB9"/>
    <w:rsid w:val="000E2AD0"/>
    <w:rsid w:val="000E6D02"/>
    <w:rsid w:val="000F1595"/>
    <w:rsid w:val="000F7F72"/>
    <w:rsid w:val="00106F4F"/>
    <w:rsid w:val="0011056F"/>
    <w:rsid w:val="001116C4"/>
    <w:rsid w:val="0011194A"/>
    <w:rsid w:val="0011558A"/>
    <w:rsid w:val="00115B40"/>
    <w:rsid w:val="001162F6"/>
    <w:rsid w:val="0012154B"/>
    <w:rsid w:val="00124CBB"/>
    <w:rsid w:val="00124D4B"/>
    <w:rsid w:val="00127C3E"/>
    <w:rsid w:val="001305A3"/>
    <w:rsid w:val="00134581"/>
    <w:rsid w:val="00135579"/>
    <w:rsid w:val="00141ED9"/>
    <w:rsid w:val="00142184"/>
    <w:rsid w:val="001453E2"/>
    <w:rsid w:val="00147816"/>
    <w:rsid w:val="00150682"/>
    <w:rsid w:val="00152B39"/>
    <w:rsid w:val="00152EBD"/>
    <w:rsid w:val="0015332F"/>
    <w:rsid w:val="00153636"/>
    <w:rsid w:val="00153C7D"/>
    <w:rsid w:val="00154062"/>
    <w:rsid w:val="001543FF"/>
    <w:rsid w:val="00155255"/>
    <w:rsid w:val="001651D8"/>
    <w:rsid w:val="001670F6"/>
    <w:rsid w:val="001769BD"/>
    <w:rsid w:val="00176A03"/>
    <w:rsid w:val="001778B9"/>
    <w:rsid w:val="00181D25"/>
    <w:rsid w:val="001916B9"/>
    <w:rsid w:val="001A2344"/>
    <w:rsid w:val="001A39C8"/>
    <w:rsid w:val="001A4697"/>
    <w:rsid w:val="001A710D"/>
    <w:rsid w:val="001A7AEB"/>
    <w:rsid w:val="001C0CEE"/>
    <w:rsid w:val="001C6176"/>
    <w:rsid w:val="001C63C9"/>
    <w:rsid w:val="001D3089"/>
    <w:rsid w:val="001D4BE9"/>
    <w:rsid w:val="001E2B7D"/>
    <w:rsid w:val="001E7CBA"/>
    <w:rsid w:val="001F1545"/>
    <w:rsid w:val="001F30CA"/>
    <w:rsid w:val="00203BC4"/>
    <w:rsid w:val="002062F8"/>
    <w:rsid w:val="00206479"/>
    <w:rsid w:val="00215C2B"/>
    <w:rsid w:val="00220551"/>
    <w:rsid w:val="00222B63"/>
    <w:rsid w:val="00240752"/>
    <w:rsid w:val="002427DF"/>
    <w:rsid w:val="00244AB4"/>
    <w:rsid w:val="00250682"/>
    <w:rsid w:val="002535CA"/>
    <w:rsid w:val="00257A9D"/>
    <w:rsid w:val="0026459C"/>
    <w:rsid w:val="0026750A"/>
    <w:rsid w:val="00270944"/>
    <w:rsid w:val="002743ED"/>
    <w:rsid w:val="002749F4"/>
    <w:rsid w:val="00275737"/>
    <w:rsid w:val="0027628A"/>
    <w:rsid w:val="00276A1C"/>
    <w:rsid w:val="00280E0B"/>
    <w:rsid w:val="00283F49"/>
    <w:rsid w:val="00292E9B"/>
    <w:rsid w:val="00294955"/>
    <w:rsid w:val="002A18E8"/>
    <w:rsid w:val="002A6549"/>
    <w:rsid w:val="002B367A"/>
    <w:rsid w:val="002B3FDD"/>
    <w:rsid w:val="002B4B4E"/>
    <w:rsid w:val="002B5BE9"/>
    <w:rsid w:val="002C1A64"/>
    <w:rsid w:val="002C252F"/>
    <w:rsid w:val="002C2C30"/>
    <w:rsid w:val="002C65E9"/>
    <w:rsid w:val="002D53DE"/>
    <w:rsid w:val="002D5EF6"/>
    <w:rsid w:val="002E19AD"/>
    <w:rsid w:val="002E7C82"/>
    <w:rsid w:val="002F25CA"/>
    <w:rsid w:val="002F3681"/>
    <w:rsid w:val="002F7F91"/>
    <w:rsid w:val="00302668"/>
    <w:rsid w:val="00305DDF"/>
    <w:rsid w:val="00306776"/>
    <w:rsid w:val="003124AE"/>
    <w:rsid w:val="00324D1D"/>
    <w:rsid w:val="00330DA5"/>
    <w:rsid w:val="00344775"/>
    <w:rsid w:val="00346230"/>
    <w:rsid w:val="003471A4"/>
    <w:rsid w:val="00351AF9"/>
    <w:rsid w:val="00355E71"/>
    <w:rsid w:val="003625CB"/>
    <w:rsid w:val="003630C6"/>
    <w:rsid w:val="00367D11"/>
    <w:rsid w:val="00374EDA"/>
    <w:rsid w:val="00377E33"/>
    <w:rsid w:val="003833B7"/>
    <w:rsid w:val="00383FFD"/>
    <w:rsid w:val="0038420E"/>
    <w:rsid w:val="003845A3"/>
    <w:rsid w:val="00390FBC"/>
    <w:rsid w:val="00393337"/>
    <w:rsid w:val="0039466B"/>
    <w:rsid w:val="003963AD"/>
    <w:rsid w:val="00397F94"/>
    <w:rsid w:val="003A24C2"/>
    <w:rsid w:val="003A5AD5"/>
    <w:rsid w:val="003A7742"/>
    <w:rsid w:val="003A7A17"/>
    <w:rsid w:val="003B1723"/>
    <w:rsid w:val="003B4DAF"/>
    <w:rsid w:val="003B5327"/>
    <w:rsid w:val="003C002E"/>
    <w:rsid w:val="003C21B5"/>
    <w:rsid w:val="003C587E"/>
    <w:rsid w:val="003F112E"/>
    <w:rsid w:val="003F2BAA"/>
    <w:rsid w:val="00402225"/>
    <w:rsid w:val="00416592"/>
    <w:rsid w:val="00420CC8"/>
    <w:rsid w:val="004263AD"/>
    <w:rsid w:val="00433A26"/>
    <w:rsid w:val="00436921"/>
    <w:rsid w:val="0044006F"/>
    <w:rsid w:val="004411A8"/>
    <w:rsid w:val="0044478E"/>
    <w:rsid w:val="00446A7E"/>
    <w:rsid w:val="00453333"/>
    <w:rsid w:val="00455433"/>
    <w:rsid w:val="004574D6"/>
    <w:rsid w:val="00474A01"/>
    <w:rsid w:val="0048052C"/>
    <w:rsid w:val="004904DC"/>
    <w:rsid w:val="00492D74"/>
    <w:rsid w:val="004941D9"/>
    <w:rsid w:val="004942B6"/>
    <w:rsid w:val="00497897"/>
    <w:rsid w:val="004A31CF"/>
    <w:rsid w:val="004A482C"/>
    <w:rsid w:val="004A5558"/>
    <w:rsid w:val="004A742B"/>
    <w:rsid w:val="004C4C61"/>
    <w:rsid w:val="004C6E19"/>
    <w:rsid w:val="004D1553"/>
    <w:rsid w:val="004D4C37"/>
    <w:rsid w:val="004E250D"/>
    <w:rsid w:val="004E30F3"/>
    <w:rsid w:val="004F0FD3"/>
    <w:rsid w:val="004F4104"/>
    <w:rsid w:val="004F58D1"/>
    <w:rsid w:val="004F6153"/>
    <w:rsid w:val="004F61E9"/>
    <w:rsid w:val="004F7609"/>
    <w:rsid w:val="00501189"/>
    <w:rsid w:val="005059BD"/>
    <w:rsid w:val="00505AA9"/>
    <w:rsid w:val="00510BD1"/>
    <w:rsid w:val="00511397"/>
    <w:rsid w:val="00511EBA"/>
    <w:rsid w:val="0051409E"/>
    <w:rsid w:val="005175E8"/>
    <w:rsid w:val="00521172"/>
    <w:rsid w:val="00521FAE"/>
    <w:rsid w:val="00522AE4"/>
    <w:rsid w:val="005251A7"/>
    <w:rsid w:val="00527EE7"/>
    <w:rsid w:val="0053444C"/>
    <w:rsid w:val="00534DA8"/>
    <w:rsid w:val="00544473"/>
    <w:rsid w:val="00546CDF"/>
    <w:rsid w:val="00546E0C"/>
    <w:rsid w:val="0054735D"/>
    <w:rsid w:val="00547A6F"/>
    <w:rsid w:val="00547D98"/>
    <w:rsid w:val="00550E49"/>
    <w:rsid w:val="00551088"/>
    <w:rsid w:val="00551B9F"/>
    <w:rsid w:val="00561844"/>
    <w:rsid w:val="00563122"/>
    <w:rsid w:val="00567CB3"/>
    <w:rsid w:val="005726FA"/>
    <w:rsid w:val="005728CE"/>
    <w:rsid w:val="005771CD"/>
    <w:rsid w:val="00583043"/>
    <w:rsid w:val="005866B5"/>
    <w:rsid w:val="00593AE7"/>
    <w:rsid w:val="00597408"/>
    <w:rsid w:val="005A21BA"/>
    <w:rsid w:val="005B00D4"/>
    <w:rsid w:val="005B7EA4"/>
    <w:rsid w:val="005C002B"/>
    <w:rsid w:val="005C04CA"/>
    <w:rsid w:val="005C5A68"/>
    <w:rsid w:val="005C72F3"/>
    <w:rsid w:val="005D34D7"/>
    <w:rsid w:val="005D7015"/>
    <w:rsid w:val="005E0700"/>
    <w:rsid w:val="005F2649"/>
    <w:rsid w:val="005F3156"/>
    <w:rsid w:val="005F6540"/>
    <w:rsid w:val="005F7A5F"/>
    <w:rsid w:val="00602F2C"/>
    <w:rsid w:val="00604984"/>
    <w:rsid w:val="00605113"/>
    <w:rsid w:val="00614A97"/>
    <w:rsid w:val="00617F45"/>
    <w:rsid w:val="0062B8D7"/>
    <w:rsid w:val="0063009D"/>
    <w:rsid w:val="00632CFF"/>
    <w:rsid w:val="00633A5D"/>
    <w:rsid w:val="00634BD7"/>
    <w:rsid w:val="00637462"/>
    <w:rsid w:val="00640306"/>
    <w:rsid w:val="00642C70"/>
    <w:rsid w:val="0064598F"/>
    <w:rsid w:val="006516A5"/>
    <w:rsid w:val="00671560"/>
    <w:rsid w:val="00686D63"/>
    <w:rsid w:val="00687EE4"/>
    <w:rsid w:val="0069030E"/>
    <w:rsid w:val="00696D81"/>
    <w:rsid w:val="006A33D8"/>
    <w:rsid w:val="006A3F5C"/>
    <w:rsid w:val="006A4D5D"/>
    <w:rsid w:val="006B1DD0"/>
    <w:rsid w:val="006B31DB"/>
    <w:rsid w:val="006B5758"/>
    <w:rsid w:val="006C27D0"/>
    <w:rsid w:val="006C75AF"/>
    <w:rsid w:val="006D1A88"/>
    <w:rsid w:val="006E08EF"/>
    <w:rsid w:val="006E2E4F"/>
    <w:rsid w:val="006E4DE0"/>
    <w:rsid w:val="006F3CB2"/>
    <w:rsid w:val="006F7CCE"/>
    <w:rsid w:val="00710E67"/>
    <w:rsid w:val="007159D0"/>
    <w:rsid w:val="00716E5C"/>
    <w:rsid w:val="00717322"/>
    <w:rsid w:val="00717A3E"/>
    <w:rsid w:val="00724DB5"/>
    <w:rsid w:val="007316CC"/>
    <w:rsid w:val="007366C5"/>
    <w:rsid w:val="00743CBF"/>
    <w:rsid w:val="00743D2D"/>
    <w:rsid w:val="007441E1"/>
    <w:rsid w:val="00744FBF"/>
    <w:rsid w:val="00754B2B"/>
    <w:rsid w:val="00763869"/>
    <w:rsid w:val="00764F19"/>
    <w:rsid w:val="00765A15"/>
    <w:rsid w:val="007667BD"/>
    <w:rsid w:val="00767D15"/>
    <w:rsid w:val="00770C9A"/>
    <w:rsid w:val="00771662"/>
    <w:rsid w:val="00772FC4"/>
    <w:rsid w:val="00773364"/>
    <w:rsid w:val="007739E8"/>
    <w:rsid w:val="007755C3"/>
    <w:rsid w:val="007827B3"/>
    <w:rsid w:val="007863DF"/>
    <w:rsid w:val="00786762"/>
    <w:rsid w:val="00786EA0"/>
    <w:rsid w:val="00793C5F"/>
    <w:rsid w:val="007956D6"/>
    <w:rsid w:val="00797B98"/>
    <w:rsid w:val="007A1C3B"/>
    <w:rsid w:val="007A630F"/>
    <w:rsid w:val="007D0769"/>
    <w:rsid w:val="007D1FA6"/>
    <w:rsid w:val="007D435F"/>
    <w:rsid w:val="007D7201"/>
    <w:rsid w:val="007E2B28"/>
    <w:rsid w:val="007E3180"/>
    <w:rsid w:val="007E3413"/>
    <w:rsid w:val="007E466F"/>
    <w:rsid w:val="007E6C86"/>
    <w:rsid w:val="007F0AD5"/>
    <w:rsid w:val="007F1D6F"/>
    <w:rsid w:val="007F4160"/>
    <w:rsid w:val="007F4412"/>
    <w:rsid w:val="007F4A2F"/>
    <w:rsid w:val="007F6A74"/>
    <w:rsid w:val="007F7185"/>
    <w:rsid w:val="00805773"/>
    <w:rsid w:val="00805C4A"/>
    <w:rsid w:val="00807D71"/>
    <w:rsid w:val="00812137"/>
    <w:rsid w:val="00826A54"/>
    <w:rsid w:val="008277CA"/>
    <w:rsid w:val="008310A1"/>
    <w:rsid w:val="008346EC"/>
    <w:rsid w:val="008347E1"/>
    <w:rsid w:val="00837CBD"/>
    <w:rsid w:val="0084198E"/>
    <w:rsid w:val="0086164E"/>
    <w:rsid w:val="008633A9"/>
    <w:rsid w:val="00865627"/>
    <w:rsid w:val="00866C2F"/>
    <w:rsid w:val="008671FA"/>
    <w:rsid w:val="00867C2F"/>
    <w:rsid w:val="00872541"/>
    <w:rsid w:val="00872A8B"/>
    <w:rsid w:val="008770BC"/>
    <w:rsid w:val="00880EFA"/>
    <w:rsid w:val="00890AC7"/>
    <w:rsid w:val="00893787"/>
    <w:rsid w:val="0089496C"/>
    <w:rsid w:val="00896367"/>
    <w:rsid w:val="00897E0B"/>
    <w:rsid w:val="008A22D5"/>
    <w:rsid w:val="008A3D2A"/>
    <w:rsid w:val="008A4E8A"/>
    <w:rsid w:val="008B1B86"/>
    <w:rsid w:val="008B54E3"/>
    <w:rsid w:val="008B7AF6"/>
    <w:rsid w:val="008C32BD"/>
    <w:rsid w:val="008C74E1"/>
    <w:rsid w:val="008D1B12"/>
    <w:rsid w:val="008D359F"/>
    <w:rsid w:val="008D56E7"/>
    <w:rsid w:val="008D5D10"/>
    <w:rsid w:val="008E71D6"/>
    <w:rsid w:val="008F0572"/>
    <w:rsid w:val="008F20B4"/>
    <w:rsid w:val="008F62AD"/>
    <w:rsid w:val="008F641E"/>
    <w:rsid w:val="00900C7D"/>
    <w:rsid w:val="00903527"/>
    <w:rsid w:val="0090359C"/>
    <w:rsid w:val="0090750F"/>
    <w:rsid w:val="009151CD"/>
    <w:rsid w:val="009214D0"/>
    <w:rsid w:val="0092157E"/>
    <w:rsid w:val="00921597"/>
    <w:rsid w:val="00921A41"/>
    <w:rsid w:val="00922354"/>
    <w:rsid w:val="00924004"/>
    <w:rsid w:val="00924B29"/>
    <w:rsid w:val="00926F6F"/>
    <w:rsid w:val="00930385"/>
    <w:rsid w:val="00931B5E"/>
    <w:rsid w:val="009324E2"/>
    <w:rsid w:val="00934098"/>
    <w:rsid w:val="00936724"/>
    <w:rsid w:val="00943342"/>
    <w:rsid w:val="00951EE8"/>
    <w:rsid w:val="0095769F"/>
    <w:rsid w:val="009636DB"/>
    <w:rsid w:val="009665C7"/>
    <w:rsid w:val="0096677F"/>
    <w:rsid w:val="00973C92"/>
    <w:rsid w:val="009813AC"/>
    <w:rsid w:val="009864D9"/>
    <w:rsid w:val="009865CB"/>
    <w:rsid w:val="00994C97"/>
    <w:rsid w:val="00995ED0"/>
    <w:rsid w:val="0099695A"/>
    <w:rsid w:val="009A2FEC"/>
    <w:rsid w:val="009A3913"/>
    <w:rsid w:val="009A3FA4"/>
    <w:rsid w:val="009A6287"/>
    <w:rsid w:val="009A7721"/>
    <w:rsid w:val="009B485C"/>
    <w:rsid w:val="009B4CA0"/>
    <w:rsid w:val="009B4F5C"/>
    <w:rsid w:val="009B7F5E"/>
    <w:rsid w:val="009C1F98"/>
    <w:rsid w:val="009C5F0E"/>
    <w:rsid w:val="009C679B"/>
    <w:rsid w:val="009D0B51"/>
    <w:rsid w:val="009D162D"/>
    <w:rsid w:val="009D40F0"/>
    <w:rsid w:val="009D5BDD"/>
    <w:rsid w:val="009E5A19"/>
    <w:rsid w:val="00A02091"/>
    <w:rsid w:val="00A03150"/>
    <w:rsid w:val="00A05C6E"/>
    <w:rsid w:val="00A07980"/>
    <w:rsid w:val="00A07FC2"/>
    <w:rsid w:val="00A10626"/>
    <w:rsid w:val="00A133DE"/>
    <w:rsid w:val="00A13490"/>
    <w:rsid w:val="00A15A9B"/>
    <w:rsid w:val="00A161E4"/>
    <w:rsid w:val="00A16645"/>
    <w:rsid w:val="00A26665"/>
    <w:rsid w:val="00A31EFF"/>
    <w:rsid w:val="00A32F04"/>
    <w:rsid w:val="00A33A17"/>
    <w:rsid w:val="00A3559A"/>
    <w:rsid w:val="00A41634"/>
    <w:rsid w:val="00A41789"/>
    <w:rsid w:val="00A471EA"/>
    <w:rsid w:val="00A52126"/>
    <w:rsid w:val="00A52B9C"/>
    <w:rsid w:val="00A538D3"/>
    <w:rsid w:val="00A53A8B"/>
    <w:rsid w:val="00A55A79"/>
    <w:rsid w:val="00A67E36"/>
    <w:rsid w:val="00A71330"/>
    <w:rsid w:val="00A72C53"/>
    <w:rsid w:val="00A74D01"/>
    <w:rsid w:val="00A761C6"/>
    <w:rsid w:val="00A831F2"/>
    <w:rsid w:val="00A86294"/>
    <w:rsid w:val="00A91673"/>
    <w:rsid w:val="00A936CD"/>
    <w:rsid w:val="00A9750E"/>
    <w:rsid w:val="00AA43A5"/>
    <w:rsid w:val="00AA662E"/>
    <w:rsid w:val="00AB0D2E"/>
    <w:rsid w:val="00AB284C"/>
    <w:rsid w:val="00AC1D1D"/>
    <w:rsid w:val="00AC469E"/>
    <w:rsid w:val="00AC4D51"/>
    <w:rsid w:val="00AC7F96"/>
    <w:rsid w:val="00AD1CE7"/>
    <w:rsid w:val="00AD3FFF"/>
    <w:rsid w:val="00AD4549"/>
    <w:rsid w:val="00AD79EB"/>
    <w:rsid w:val="00AE1E0E"/>
    <w:rsid w:val="00AE7A26"/>
    <w:rsid w:val="00AF0ACC"/>
    <w:rsid w:val="00AF2246"/>
    <w:rsid w:val="00AF5E89"/>
    <w:rsid w:val="00B042F8"/>
    <w:rsid w:val="00B109B0"/>
    <w:rsid w:val="00B12C43"/>
    <w:rsid w:val="00B12F4B"/>
    <w:rsid w:val="00B1327A"/>
    <w:rsid w:val="00B1333A"/>
    <w:rsid w:val="00B16529"/>
    <w:rsid w:val="00B242AB"/>
    <w:rsid w:val="00B4029E"/>
    <w:rsid w:val="00B425B1"/>
    <w:rsid w:val="00B5156D"/>
    <w:rsid w:val="00B5200A"/>
    <w:rsid w:val="00B52042"/>
    <w:rsid w:val="00B6116C"/>
    <w:rsid w:val="00B66956"/>
    <w:rsid w:val="00B74B88"/>
    <w:rsid w:val="00B7625E"/>
    <w:rsid w:val="00B83102"/>
    <w:rsid w:val="00B84DD6"/>
    <w:rsid w:val="00B8721E"/>
    <w:rsid w:val="00B91360"/>
    <w:rsid w:val="00BA013D"/>
    <w:rsid w:val="00BA145C"/>
    <w:rsid w:val="00BA3EB8"/>
    <w:rsid w:val="00BA4005"/>
    <w:rsid w:val="00BB14AF"/>
    <w:rsid w:val="00BB25C1"/>
    <w:rsid w:val="00BB2F23"/>
    <w:rsid w:val="00BC0C2A"/>
    <w:rsid w:val="00BC2489"/>
    <w:rsid w:val="00BD27BD"/>
    <w:rsid w:val="00BD2DE5"/>
    <w:rsid w:val="00BE0CDD"/>
    <w:rsid w:val="00BE181F"/>
    <w:rsid w:val="00BE396D"/>
    <w:rsid w:val="00BF2B08"/>
    <w:rsid w:val="00BF68A7"/>
    <w:rsid w:val="00BF7997"/>
    <w:rsid w:val="00C020F9"/>
    <w:rsid w:val="00C02F2E"/>
    <w:rsid w:val="00C16244"/>
    <w:rsid w:val="00C23CBF"/>
    <w:rsid w:val="00C243EC"/>
    <w:rsid w:val="00C248CC"/>
    <w:rsid w:val="00C24B43"/>
    <w:rsid w:val="00C27D6E"/>
    <w:rsid w:val="00C34677"/>
    <w:rsid w:val="00C40523"/>
    <w:rsid w:val="00C429D1"/>
    <w:rsid w:val="00C4585D"/>
    <w:rsid w:val="00C45A31"/>
    <w:rsid w:val="00C503AE"/>
    <w:rsid w:val="00C5056A"/>
    <w:rsid w:val="00C514EA"/>
    <w:rsid w:val="00C527C9"/>
    <w:rsid w:val="00C5494E"/>
    <w:rsid w:val="00C616D9"/>
    <w:rsid w:val="00C61E45"/>
    <w:rsid w:val="00C62405"/>
    <w:rsid w:val="00C62899"/>
    <w:rsid w:val="00C664F7"/>
    <w:rsid w:val="00C71511"/>
    <w:rsid w:val="00C757AD"/>
    <w:rsid w:val="00C759F2"/>
    <w:rsid w:val="00C75FA9"/>
    <w:rsid w:val="00C760C7"/>
    <w:rsid w:val="00C770A6"/>
    <w:rsid w:val="00C815E2"/>
    <w:rsid w:val="00C82230"/>
    <w:rsid w:val="00C84C9F"/>
    <w:rsid w:val="00C86355"/>
    <w:rsid w:val="00C87705"/>
    <w:rsid w:val="00C9101A"/>
    <w:rsid w:val="00C947F0"/>
    <w:rsid w:val="00C9538A"/>
    <w:rsid w:val="00C96825"/>
    <w:rsid w:val="00C97D5B"/>
    <w:rsid w:val="00CA125E"/>
    <w:rsid w:val="00CA2409"/>
    <w:rsid w:val="00CB158E"/>
    <w:rsid w:val="00CB3762"/>
    <w:rsid w:val="00CB6EE3"/>
    <w:rsid w:val="00CC52C5"/>
    <w:rsid w:val="00CC74D5"/>
    <w:rsid w:val="00CC8665"/>
    <w:rsid w:val="00CE2211"/>
    <w:rsid w:val="00CE3CC3"/>
    <w:rsid w:val="00CF2925"/>
    <w:rsid w:val="00CF324D"/>
    <w:rsid w:val="00CF3AD9"/>
    <w:rsid w:val="00CF4790"/>
    <w:rsid w:val="00CF6C42"/>
    <w:rsid w:val="00CF7AD3"/>
    <w:rsid w:val="00D02B54"/>
    <w:rsid w:val="00D05EF4"/>
    <w:rsid w:val="00D07020"/>
    <w:rsid w:val="00D11823"/>
    <w:rsid w:val="00D12DA4"/>
    <w:rsid w:val="00D16141"/>
    <w:rsid w:val="00D173F3"/>
    <w:rsid w:val="00D23F86"/>
    <w:rsid w:val="00D2499B"/>
    <w:rsid w:val="00D31563"/>
    <w:rsid w:val="00D34097"/>
    <w:rsid w:val="00D34354"/>
    <w:rsid w:val="00D43F4A"/>
    <w:rsid w:val="00D51279"/>
    <w:rsid w:val="00D51979"/>
    <w:rsid w:val="00D57F55"/>
    <w:rsid w:val="00D601B5"/>
    <w:rsid w:val="00D609B1"/>
    <w:rsid w:val="00D70194"/>
    <w:rsid w:val="00D70E97"/>
    <w:rsid w:val="00D71B74"/>
    <w:rsid w:val="00D7287E"/>
    <w:rsid w:val="00D82020"/>
    <w:rsid w:val="00D87F33"/>
    <w:rsid w:val="00D942E7"/>
    <w:rsid w:val="00D9512E"/>
    <w:rsid w:val="00D97375"/>
    <w:rsid w:val="00DA43A7"/>
    <w:rsid w:val="00DA4E8A"/>
    <w:rsid w:val="00DB0865"/>
    <w:rsid w:val="00DB1CB2"/>
    <w:rsid w:val="00DB6E3F"/>
    <w:rsid w:val="00DC02D5"/>
    <w:rsid w:val="00DC0EA8"/>
    <w:rsid w:val="00DC1CA7"/>
    <w:rsid w:val="00DC69E3"/>
    <w:rsid w:val="00DD1972"/>
    <w:rsid w:val="00DD699C"/>
    <w:rsid w:val="00DE7FFB"/>
    <w:rsid w:val="00DF2F1D"/>
    <w:rsid w:val="00DF4615"/>
    <w:rsid w:val="00E0433C"/>
    <w:rsid w:val="00E05659"/>
    <w:rsid w:val="00E06AFE"/>
    <w:rsid w:val="00E06BC4"/>
    <w:rsid w:val="00E06CD2"/>
    <w:rsid w:val="00E105FC"/>
    <w:rsid w:val="00E123B6"/>
    <w:rsid w:val="00E138CC"/>
    <w:rsid w:val="00E14AC9"/>
    <w:rsid w:val="00E204ED"/>
    <w:rsid w:val="00E21F89"/>
    <w:rsid w:val="00E32219"/>
    <w:rsid w:val="00E32A4C"/>
    <w:rsid w:val="00E3342B"/>
    <w:rsid w:val="00E404DA"/>
    <w:rsid w:val="00E40D41"/>
    <w:rsid w:val="00E50689"/>
    <w:rsid w:val="00E524BC"/>
    <w:rsid w:val="00E56352"/>
    <w:rsid w:val="00E57822"/>
    <w:rsid w:val="00E65ED6"/>
    <w:rsid w:val="00E673CF"/>
    <w:rsid w:val="00E674D8"/>
    <w:rsid w:val="00E701B2"/>
    <w:rsid w:val="00E72C7D"/>
    <w:rsid w:val="00E74720"/>
    <w:rsid w:val="00E74FE8"/>
    <w:rsid w:val="00E759A0"/>
    <w:rsid w:val="00E7605E"/>
    <w:rsid w:val="00E77496"/>
    <w:rsid w:val="00E85718"/>
    <w:rsid w:val="00E85B9B"/>
    <w:rsid w:val="00E9285D"/>
    <w:rsid w:val="00E93B20"/>
    <w:rsid w:val="00EA00B7"/>
    <w:rsid w:val="00EA1393"/>
    <w:rsid w:val="00EA141C"/>
    <w:rsid w:val="00EA1AFE"/>
    <w:rsid w:val="00EA7BCE"/>
    <w:rsid w:val="00EB1C1E"/>
    <w:rsid w:val="00EB2173"/>
    <w:rsid w:val="00EC1D69"/>
    <w:rsid w:val="00EC335B"/>
    <w:rsid w:val="00EC4D99"/>
    <w:rsid w:val="00ED09BF"/>
    <w:rsid w:val="00ED5130"/>
    <w:rsid w:val="00EE0CB3"/>
    <w:rsid w:val="00EE3816"/>
    <w:rsid w:val="00EE5AFC"/>
    <w:rsid w:val="00F056F5"/>
    <w:rsid w:val="00F07A34"/>
    <w:rsid w:val="00F120A5"/>
    <w:rsid w:val="00F13733"/>
    <w:rsid w:val="00F146D3"/>
    <w:rsid w:val="00F16875"/>
    <w:rsid w:val="00F17825"/>
    <w:rsid w:val="00F21F6C"/>
    <w:rsid w:val="00F22AA1"/>
    <w:rsid w:val="00F24D0E"/>
    <w:rsid w:val="00F30B00"/>
    <w:rsid w:val="00F329D8"/>
    <w:rsid w:val="00F4219C"/>
    <w:rsid w:val="00F424CA"/>
    <w:rsid w:val="00F4424B"/>
    <w:rsid w:val="00F50103"/>
    <w:rsid w:val="00F50A4E"/>
    <w:rsid w:val="00F54BF1"/>
    <w:rsid w:val="00F56AF8"/>
    <w:rsid w:val="00F57AE5"/>
    <w:rsid w:val="00F642CA"/>
    <w:rsid w:val="00F65113"/>
    <w:rsid w:val="00F65AA1"/>
    <w:rsid w:val="00F7056D"/>
    <w:rsid w:val="00F7343C"/>
    <w:rsid w:val="00F77260"/>
    <w:rsid w:val="00F778DE"/>
    <w:rsid w:val="00F808F4"/>
    <w:rsid w:val="00F80AFB"/>
    <w:rsid w:val="00F85461"/>
    <w:rsid w:val="00F9134B"/>
    <w:rsid w:val="00F9363E"/>
    <w:rsid w:val="00F95885"/>
    <w:rsid w:val="00FA4FDE"/>
    <w:rsid w:val="00FA73ED"/>
    <w:rsid w:val="00FC4BB2"/>
    <w:rsid w:val="00FC512B"/>
    <w:rsid w:val="00FC6F61"/>
    <w:rsid w:val="00FE0E8E"/>
    <w:rsid w:val="00FE2C10"/>
    <w:rsid w:val="00FE3E9F"/>
    <w:rsid w:val="00FF0413"/>
    <w:rsid w:val="00FF3717"/>
    <w:rsid w:val="00FF5232"/>
    <w:rsid w:val="00FF59B2"/>
    <w:rsid w:val="00FF60E7"/>
    <w:rsid w:val="01BE8952"/>
    <w:rsid w:val="0390C34C"/>
    <w:rsid w:val="048C8073"/>
    <w:rsid w:val="050C735D"/>
    <w:rsid w:val="062850D4"/>
    <w:rsid w:val="063290A7"/>
    <w:rsid w:val="063EF413"/>
    <w:rsid w:val="0896A3CC"/>
    <w:rsid w:val="09218DC9"/>
    <w:rsid w:val="09463A19"/>
    <w:rsid w:val="095408FC"/>
    <w:rsid w:val="09C99B37"/>
    <w:rsid w:val="0BECFFCC"/>
    <w:rsid w:val="0C5194B2"/>
    <w:rsid w:val="0CB6231D"/>
    <w:rsid w:val="0CF9A220"/>
    <w:rsid w:val="0E277A1F"/>
    <w:rsid w:val="0E4E8354"/>
    <w:rsid w:val="0EBFE04D"/>
    <w:rsid w:val="0FAA8F4C"/>
    <w:rsid w:val="0FEDC3DF"/>
    <w:rsid w:val="11465FAD"/>
    <w:rsid w:val="1172F101"/>
    <w:rsid w:val="1234C8DC"/>
    <w:rsid w:val="15096ECA"/>
    <w:rsid w:val="15143B64"/>
    <w:rsid w:val="17A9C305"/>
    <w:rsid w:val="18CA1340"/>
    <w:rsid w:val="19B4A431"/>
    <w:rsid w:val="1A3C8009"/>
    <w:rsid w:val="1E078C73"/>
    <w:rsid w:val="1E517409"/>
    <w:rsid w:val="1FEABF4C"/>
    <w:rsid w:val="1FF48150"/>
    <w:rsid w:val="202D17B7"/>
    <w:rsid w:val="21A2DF38"/>
    <w:rsid w:val="2257CD29"/>
    <w:rsid w:val="226601AE"/>
    <w:rsid w:val="226FB10A"/>
    <w:rsid w:val="2322600E"/>
    <w:rsid w:val="24BE306F"/>
    <w:rsid w:val="25A751CC"/>
    <w:rsid w:val="261E2221"/>
    <w:rsid w:val="268DB155"/>
    <w:rsid w:val="26BE95B6"/>
    <w:rsid w:val="27372084"/>
    <w:rsid w:val="285F20DC"/>
    <w:rsid w:val="28D97CAA"/>
    <w:rsid w:val="28DEF28E"/>
    <w:rsid w:val="2A754D0B"/>
    <w:rsid w:val="2CCDBFB0"/>
    <w:rsid w:val="2D1969A2"/>
    <w:rsid w:val="2F423269"/>
    <w:rsid w:val="2FED3B91"/>
    <w:rsid w:val="3000E316"/>
    <w:rsid w:val="319CB377"/>
    <w:rsid w:val="31ECDAC5"/>
    <w:rsid w:val="33CBBBF6"/>
    <w:rsid w:val="3411AEDA"/>
    <w:rsid w:val="3420FC0B"/>
    <w:rsid w:val="34D45439"/>
    <w:rsid w:val="35B173ED"/>
    <w:rsid w:val="35BBB3C0"/>
    <w:rsid w:val="36183E7A"/>
    <w:rsid w:val="368133FD"/>
    <w:rsid w:val="36C04BE8"/>
    <w:rsid w:val="3763E78D"/>
    <w:rsid w:val="3931FC1A"/>
    <w:rsid w:val="39A7C55C"/>
    <w:rsid w:val="3B1DA54D"/>
    <w:rsid w:val="3C20B571"/>
    <w:rsid w:val="3C3758B0"/>
    <w:rsid w:val="3C699CDC"/>
    <w:rsid w:val="3C80B055"/>
    <w:rsid w:val="3D6AEDF5"/>
    <w:rsid w:val="3E490366"/>
    <w:rsid w:val="3E7CA08B"/>
    <w:rsid w:val="3EB6D48A"/>
    <w:rsid w:val="3F3C40D6"/>
    <w:rsid w:val="3FF12865"/>
    <w:rsid w:val="40023190"/>
    <w:rsid w:val="401706E0"/>
    <w:rsid w:val="406F1BB4"/>
    <w:rsid w:val="4084529A"/>
    <w:rsid w:val="40D70985"/>
    <w:rsid w:val="42DD9925"/>
    <w:rsid w:val="43BBF35C"/>
    <w:rsid w:val="44312FBE"/>
    <w:rsid w:val="44C7AB2A"/>
    <w:rsid w:val="450661EC"/>
    <w:rsid w:val="453DD212"/>
    <w:rsid w:val="4557C3BD"/>
    <w:rsid w:val="45700B8D"/>
    <w:rsid w:val="45D621FC"/>
    <w:rsid w:val="462A70CD"/>
    <w:rsid w:val="46BB5AAA"/>
    <w:rsid w:val="4768D080"/>
    <w:rsid w:val="47AC4F83"/>
    <w:rsid w:val="47B10A48"/>
    <w:rsid w:val="4805932E"/>
    <w:rsid w:val="482218C5"/>
    <w:rsid w:val="490130B7"/>
    <w:rsid w:val="4A590ECA"/>
    <w:rsid w:val="4AE1DB61"/>
    <w:rsid w:val="4BDF4D11"/>
    <w:rsid w:val="4C3C41A3"/>
    <w:rsid w:val="4D8663FC"/>
    <w:rsid w:val="4E1B9107"/>
    <w:rsid w:val="4F851D3C"/>
    <w:rsid w:val="51C8CF97"/>
    <w:rsid w:val="5309D013"/>
    <w:rsid w:val="543F6602"/>
    <w:rsid w:val="546503D9"/>
    <w:rsid w:val="54FF9B78"/>
    <w:rsid w:val="55007059"/>
    <w:rsid w:val="553074E5"/>
    <w:rsid w:val="55E323E9"/>
    <w:rsid w:val="5656760F"/>
    <w:rsid w:val="571850FB"/>
    <w:rsid w:val="57242AC7"/>
    <w:rsid w:val="57714BAA"/>
    <w:rsid w:val="584EED4A"/>
    <w:rsid w:val="58598EE0"/>
    <w:rsid w:val="586815A7"/>
    <w:rsid w:val="58B8A63F"/>
    <w:rsid w:val="5C73A193"/>
    <w:rsid w:val="5E0E33DA"/>
    <w:rsid w:val="5E2079FA"/>
    <w:rsid w:val="5EC2F290"/>
    <w:rsid w:val="5F4045AD"/>
    <w:rsid w:val="6035D001"/>
    <w:rsid w:val="6136E5F3"/>
    <w:rsid w:val="61E9CDE7"/>
    <w:rsid w:val="62ABA5C2"/>
    <w:rsid w:val="63EF47E9"/>
    <w:rsid w:val="6400D66D"/>
    <w:rsid w:val="64087046"/>
    <w:rsid w:val="648562E4"/>
    <w:rsid w:val="650584C0"/>
    <w:rsid w:val="662976FB"/>
    <w:rsid w:val="66BAB9EC"/>
    <w:rsid w:val="66C940B3"/>
    <w:rsid w:val="67401108"/>
    <w:rsid w:val="68BB1F33"/>
    <w:rsid w:val="69F4DFCC"/>
    <w:rsid w:val="6ACCB8D6"/>
    <w:rsid w:val="6B18EEAD"/>
    <w:rsid w:val="6C688937"/>
    <w:rsid w:val="6C847320"/>
    <w:rsid w:val="6D8E9056"/>
    <w:rsid w:val="6DD2267F"/>
    <w:rsid w:val="6DFE9E7E"/>
    <w:rsid w:val="6EC5CBD1"/>
    <w:rsid w:val="6F08570D"/>
    <w:rsid w:val="70C63118"/>
    <w:rsid w:val="713BFA5A"/>
    <w:rsid w:val="71F40917"/>
    <w:rsid w:val="721694F0"/>
    <w:rsid w:val="7323A683"/>
    <w:rsid w:val="7397CD60"/>
    <w:rsid w:val="73993CF4"/>
    <w:rsid w:val="739BC212"/>
    <w:rsid w:val="753CFADB"/>
    <w:rsid w:val="75D052B0"/>
    <w:rsid w:val="761E2EB2"/>
    <w:rsid w:val="7631E12B"/>
    <w:rsid w:val="763A0B1F"/>
    <w:rsid w:val="76A04591"/>
    <w:rsid w:val="76D8CB3C"/>
    <w:rsid w:val="77A7ABFD"/>
    <w:rsid w:val="77AB3BDE"/>
    <w:rsid w:val="77FEC7C3"/>
    <w:rsid w:val="7A21A6D5"/>
    <w:rsid w:val="7A6D135E"/>
    <w:rsid w:val="7B26A49F"/>
    <w:rsid w:val="7B68702A"/>
    <w:rsid w:val="7BAEC17D"/>
    <w:rsid w:val="7C23B1A8"/>
    <w:rsid w:val="7C7E818D"/>
    <w:rsid w:val="7D0FC47E"/>
    <w:rsid w:val="7DEAEC1E"/>
    <w:rsid w:val="7E1A51EE"/>
    <w:rsid w:val="7E31A975"/>
    <w:rsid w:val="7EDBEF9B"/>
    <w:rsid w:val="7EF517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35393"/>
  <w15:docId w15:val="{9089BEC4-44E0-4768-B6E5-B8732D03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6BA"/>
    <w:pPr>
      <w:spacing w:before="100" w:beforeAutospacing="1" w:after="100" w:afterAutospacing="1"/>
      <w:contextualSpacing/>
      <w:jc w:val="both"/>
    </w:pPr>
    <w:rPr>
      <w:rFonts w:ascii="Cambria" w:hAnsi="Cambria"/>
      <w:sz w:val="22"/>
      <w:szCs w:val="22"/>
      <w:lang w:val="en-GB" w:eastAsia="en-US"/>
    </w:rPr>
  </w:style>
  <w:style w:type="paragraph" w:styleId="Heading1">
    <w:name w:val="heading 1"/>
    <w:basedOn w:val="Normal"/>
    <w:next w:val="Normal"/>
    <w:link w:val="Heading1Char"/>
    <w:uiPriority w:val="9"/>
    <w:qFormat/>
    <w:rsid w:val="000C3BAC"/>
    <w:pPr>
      <w:spacing w:after="480"/>
      <w:outlineLvl w:val="0"/>
    </w:pPr>
    <w:rPr>
      <w:rFonts w:eastAsia="Calibri" w:cs="Tahoma"/>
      <w:b/>
      <w:caps/>
      <w:color w:val="003152"/>
      <w:sz w:val="32"/>
    </w:rPr>
  </w:style>
  <w:style w:type="paragraph" w:styleId="Heading2">
    <w:name w:val="heading 2"/>
    <w:basedOn w:val="Normal"/>
    <w:next w:val="Normal"/>
    <w:link w:val="Heading2Char"/>
    <w:uiPriority w:val="9"/>
    <w:unhideWhenUsed/>
    <w:qFormat/>
    <w:rsid w:val="000C3BAC"/>
    <w:pPr>
      <w:spacing w:before="240" w:after="240"/>
      <w:outlineLvl w:val="1"/>
    </w:pPr>
    <w:rPr>
      <w:rFonts w:eastAsia="Calibri" w:cs="Tahoma"/>
      <w:b/>
      <w:color w:val="4BACC6"/>
      <w:sz w:val="28"/>
      <w:szCs w:val="24"/>
    </w:rPr>
  </w:style>
  <w:style w:type="paragraph" w:styleId="Heading3">
    <w:name w:val="heading 3"/>
    <w:basedOn w:val="Normal"/>
    <w:next w:val="Normal"/>
    <w:link w:val="Heading3Char"/>
    <w:uiPriority w:val="9"/>
    <w:unhideWhenUsed/>
    <w:qFormat/>
    <w:rsid w:val="00C61E45"/>
    <w:pPr>
      <w:keepNext/>
      <w:keepLines/>
      <w:spacing w:before="200" w:after="0"/>
      <w:outlineLvl w:val="2"/>
    </w:pPr>
    <w:rPr>
      <w:b/>
      <w:bCs/>
      <w:color w:val="4F97A3"/>
      <w:sz w:val="24"/>
    </w:rPr>
  </w:style>
  <w:style w:type="paragraph" w:styleId="Heading4">
    <w:name w:val="heading 4"/>
    <w:basedOn w:val="Normal"/>
    <w:next w:val="Normal"/>
    <w:link w:val="Heading4Char"/>
    <w:uiPriority w:val="9"/>
    <w:unhideWhenUsed/>
    <w:qFormat/>
    <w:rsid w:val="00CB3762"/>
    <w:pPr>
      <w:keepNext/>
      <w:keepLines/>
      <w:spacing w:before="200" w:after="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3BAC"/>
    <w:rPr>
      <w:rFonts w:ascii="Cambria" w:eastAsia="Calibri" w:hAnsi="Cambria" w:cs="Tahoma"/>
      <w:b/>
      <w:caps/>
      <w:color w:val="003152"/>
      <w:sz w:val="32"/>
      <w:szCs w:val="22"/>
      <w:lang w:val="en-GB"/>
    </w:rPr>
  </w:style>
  <w:style w:type="character" w:customStyle="1" w:styleId="Heading2Char">
    <w:name w:val="Heading 2 Char"/>
    <w:link w:val="Heading2"/>
    <w:uiPriority w:val="9"/>
    <w:rsid w:val="000C3BAC"/>
    <w:rPr>
      <w:rFonts w:ascii="Cambria" w:eastAsia="Calibri" w:hAnsi="Cambria" w:cs="Tahoma"/>
      <w:b/>
      <w:color w:val="4BACC6"/>
      <w:sz w:val="28"/>
      <w:szCs w:val="24"/>
      <w:lang w:val="en-GB"/>
    </w:rPr>
  </w:style>
  <w:style w:type="character" w:styleId="Hyperlink">
    <w:name w:val="Hyperlink"/>
    <w:uiPriority w:val="99"/>
    <w:rsid w:val="00330DA5"/>
    <w:rPr>
      <w:rFonts w:cs="Times New Roman"/>
      <w:color w:val="0000FF"/>
      <w:u w:val="single"/>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es"/>
    <w:basedOn w:val="Normal"/>
    <w:link w:val="FootnoteTextChar"/>
    <w:uiPriority w:val="99"/>
    <w:unhideWhenUsed/>
    <w:qFormat/>
    <w:rsid w:val="00330DA5"/>
    <w:pPr>
      <w:spacing w:after="0"/>
    </w:pPr>
    <w:rPr>
      <w:rFonts w:ascii="Tahoma" w:eastAsia="Calibri" w:hAnsi="Tahoma"/>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
    <w:link w:val="FootnoteText"/>
    <w:uiPriority w:val="99"/>
    <w:qFormat/>
    <w:rsid w:val="00330DA5"/>
    <w:rPr>
      <w:rFonts w:ascii="Tahoma" w:eastAsia="Calibri" w:hAnsi="Tahoma"/>
      <w:sz w:val="20"/>
      <w:szCs w:val="20"/>
    </w:rPr>
  </w:style>
  <w:style w:type="character" w:styleId="FootnoteReference">
    <w:name w:val="footnote reference"/>
    <w:aliases w:val="Footnote Reference1,Footnotes refss,ftref,16 Point,Superscript 6 Point,Ref,de nota al pie,Footnote Reference Number,BVI fnr,BVI fnr Car Car,BVI fnr Car,BVI fnr Car Car Car Car,BVI fnr Car Car Car Car Char,BVI fnr Char Char,BVI fnr Ch"/>
    <w:link w:val="Char2"/>
    <w:uiPriority w:val="99"/>
    <w:unhideWhenUsed/>
    <w:qFormat/>
    <w:rsid w:val="00330DA5"/>
    <w:rPr>
      <w:vertAlign w:val="superscript"/>
    </w:rPr>
  </w:style>
  <w:style w:type="character" w:customStyle="1" w:styleId="CommentTextChar">
    <w:name w:val="Comment Text Char"/>
    <w:link w:val="CommentText"/>
    <w:uiPriority w:val="99"/>
    <w:rsid w:val="00330DA5"/>
    <w:rPr>
      <w:rFonts w:ascii="Tahoma" w:eastAsia="Calibri" w:hAnsi="Tahoma"/>
      <w:sz w:val="20"/>
      <w:szCs w:val="20"/>
    </w:rPr>
  </w:style>
  <w:style w:type="paragraph" w:styleId="CommentText">
    <w:name w:val="annotation text"/>
    <w:basedOn w:val="Normal"/>
    <w:link w:val="CommentTextChar"/>
    <w:uiPriority w:val="99"/>
    <w:unhideWhenUsed/>
    <w:rsid w:val="00330DA5"/>
    <w:pPr>
      <w:spacing w:after="0"/>
    </w:pPr>
    <w:rPr>
      <w:rFonts w:ascii="Tahoma" w:eastAsia="Calibri" w:hAnsi="Tahoma"/>
      <w:sz w:val="20"/>
      <w:szCs w:val="20"/>
    </w:rPr>
  </w:style>
  <w:style w:type="character" w:customStyle="1" w:styleId="CommentSubjectChar">
    <w:name w:val="Comment Subject Char"/>
    <w:link w:val="CommentSubject"/>
    <w:uiPriority w:val="99"/>
    <w:semiHidden/>
    <w:rsid w:val="00330DA5"/>
    <w:rPr>
      <w:rFonts w:ascii="Tahoma" w:eastAsia="Calibri" w:hAnsi="Tahoma"/>
      <w:b/>
      <w:bCs/>
      <w:sz w:val="20"/>
      <w:szCs w:val="20"/>
    </w:rPr>
  </w:style>
  <w:style w:type="paragraph" w:styleId="CommentSubject">
    <w:name w:val="annotation subject"/>
    <w:basedOn w:val="CommentText"/>
    <w:next w:val="CommentText"/>
    <w:link w:val="CommentSubjectChar"/>
    <w:uiPriority w:val="99"/>
    <w:semiHidden/>
    <w:unhideWhenUsed/>
    <w:rsid w:val="00330DA5"/>
    <w:rPr>
      <w:b/>
      <w:bCs/>
    </w:rPr>
  </w:style>
  <w:style w:type="paragraph" w:styleId="BalloonText">
    <w:name w:val="Balloon Text"/>
    <w:basedOn w:val="Normal"/>
    <w:link w:val="BalloonTextChar"/>
    <w:uiPriority w:val="99"/>
    <w:semiHidden/>
    <w:unhideWhenUsed/>
    <w:rsid w:val="00330DA5"/>
    <w:pPr>
      <w:spacing w:after="0"/>
    </w:pPr>
    <w:rPr>
      <w:rFonts w:ascii="Segoe UI" w:eastAsia="Calibri" w:hAnsi="Segoe UI" w:cs="Segoe UI"/>
      <w:sz w:val="18"/>
      <w:szCs w:val="18"/>
    </w:rPr>
  </w:style>
  <w:style w:type="character" w:customStyle="1" w:styleId="BalloonTextChar">
    <w:name w:val="Balloon Text Char"/>
    <w:link w:val="BalloonText"/>
    <w:uiPriority w:val="99"/>
    <w:semiHidden/>
    <w:rsid w:val="00330DA5"/>
    <w:rPr>
      <w:rFonts w:ascii="Segoe UI" w:eastAsia="Calibri" w:hAnsi="Segoe UI" w:cs="Segoe UI"/>
      <w:sz w:val="18"/>
      <w:szCs w:val="18"/>
    </w:rPr>
  </w:style>
  <w:style w:type="paragraph" w:styleId="Header">
    <w:name w:val="header"/>
    <w:basedOn w:val="Normal"/>
    <w:link w:val="HeaderChar"/>
    <w:uiPriority w:val="99"/>
    <w:unhideWhenUsed/>
    <w:rsid w:val="00330DA5"/>
    <w:pPr>
      <w:tabs>
        <w:tab w:val="center" w:pos="4680"/>
        <w:tab w:val="right" w:pos="9360"/>
      </w:tabs>
      <w:spacing w:after="0"/>
    </w:pPr>
    <w:rPr>
      <w:rFonts w:ascii="Tahoma" w:eastAsia="Calibri" w:hAnsi="Tahoma"/>
    </w:rPr>
  </w:style>
  <w:style w:type="character" w:customStyle="1" w:styleId="HeaderChar">
    <w:name w:val="Header Char"/>
    <w:link w:val="Header"/>
    <w:uiPriority w:val="99"/>
    <w:rsid w:val="00330DA5"/>
    <w:rPr>
      <w:rFonts w:ascii="Tahoma" w:eastAsia="Calibri" w:hAnsi="Tahoma"/>
    </w:rPr>
  </w:style>
  <w:style w:type="paragraph" w:styleId="Footer">
    <w:name w:val="footer"/>
    <w:basedOn w:val="Normal"/>
    <w:link w:val="FooterChar"/>
    <w:uiPriority w:val="99"/>
    <w:unhideWhenUsed/>
    <w:rsid w:val="00330DA5"/>
    <w:pPr>
      <w:tabs>
        <w:tab w:val="center" w:pos="4680"/>
        <w:tab w:val="right" w:pos="9360"/>
      </w:tabs>
      <w:spacing w:after="0"/>
    </w:pPr>
    <w:rPr>
      <w:rFonts w:ascii="Tahoma" w:eastAsia="Calibri" w:hAnsi="Tahoma"/>
    </w:rPr>
  </w:style>
  <w:style w:type="character" w:customStyle="1" w:styleId="FooterChar">
    <w:name w:val="Footer Char"/>
    <w:link w:val="Footer"/>
    <w:uiPriority w:val="99"/>
    <w:rsid w:val="00330DA5"/>
    <w:rPr>
      <w:rFonts w:ascii="Tahoma" w:eastAsia="Calibri" w:hAnsi="Tahoma"/>
    </w:rPr>
  </w:style>
  <w:style w:type="paragraph" w:styleId="ListParagraph">
    <w:name w:val="List Paragraph"/>
    <w:aliases w:val="List Paragraph 1,List Paragraph (numbered (a)),Bullets,List Paragraph1,Akapit z listą BS,WB Para,List Paragraph Char Char Char,Use Case List Paragraph,List Paragraph2,Bullet Points,Liste Paragraf,Paragraph,Citation List,Resume Title"/>
    <w:basedOn w:val="Normal"/>
    <w:link w:val="ListParagraphChar"/>
    <w:uiPriority w:val="34"/>
    <w:qFormat/>
    <w:rsid w:val="00330DA5"/>
    <w:pPr>
      <w:spacing w:after="0"/>
      <w:ind w:left="720"/>
    </w:pPr>
    <w:rPr>
      <w:rFonts w:ascii="Tahoma" w:eastAsia="Calibri" w:hAnsi="Tahoma"/>
    </w:rPr>
  </w:style>
  <w:style w:type="paragraph" w:styleId="TOCHeading">
    <w:name w:val="TOC Heading"/>
    <w:basedOn w:val="Heading1"/>
    <w:next w:val="Normal"/>
    <w:uiPriority w:val="39"/>
    <w:unhideWhenUsed/>
    <w:qFormat/>
    <w:rsid w:val="00330DA5"/>
    <w:pPr>
      <w:keepNext/>
      <w:keepLines/>
      <w:spacing w:before="240" w:after="0" w:line="259" w:lineRule="auto"/>
      <w:outlineLvl w:val="9"/>
    </w:pPr>
    <w:rPr>
      <w:rFonts w:eastAsia="Times New Roman" w:cs="Times New Roman"/>
      <w:b w:val="0"/>
      <w:color w:val="365F91"/>
      <w:szCs w:val="32"/>
      <w:lang w:val="en-US"/>
    </w:rPr>
  </w:style>
  <w:style w:type="paragraph" w:styleId="TOC1">
    <w:name w:val="toc 1"/>
    <w:basedOn w:val="Normal"/>
    <w:next w:val="Normal"/>
    <w:autoRedefine/>
    <w:uiPriority w:val="39"/>
    <w:unhideWhenUsed/>
    <w:rsid w:val="00330DA5"/>
    <w:rPr>
      <w:rFonts w:ascii="Tahoma" w:hAnsi="Tahoma"/>
    </w:rPr>
  </w:style>
  <w:style w:type="paragraph" w:styleId="NormalWeb">
    <w:name w:val="Normal (Web)"/>
    <w:basedOn w:val="Normal"/>
    <w:uiPriority w:val="99"/>
    <w:semiHidden/>
    <w:unhideWhenUsed/>
    <w:rsid w:val="00330DA5"/>
    <w:rPr>
      <w:rFonts w:ascii="Times New Roman" w:hAnsi="Times New Roman"/>
      <w:sz w:val="24"/>
      <w:szCs w:val="24"/>
    </w:rPr>
  </w:style>
  <w:style w:type="paragraph" w:customStyle="1" w:styleId="Body">
    <w:name w:val="Body"/>
    <w:rsid w:val="00330DA5"/>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character" w:customStyle="1" w:styleId="il">
    <w:name w:val="il"/>
    <w:basedOn w:val="DefaultParagraphFont"/>
    <w:rsid w:val="00330DA5"/>
  </w:style>
  <w:style w:type="character" w:styleId="FollowedHyperlink">
    <w:name w:val="FollowedHyperlink"/>
    <w:uiPriority w:val="99"/>
    <w:semiHidden/>
    <w:unhideWhenUsed/>
    <w:rsid w:val="00330DA5"/>
    <w:rPr>
      <w:color w:val="800080"/>
      <w:u w:val="single"/>
    </w:rPr>
  </w:style>
  <w:style w:type="character" w:customStyle="1" w:styleId="m-165795961064871746gmail-m8729569584784105205gmail-m-7010149880943729094gmail-shorttext">
    <w:name w:val="m_-165795961064871746gmail-m_8729569584784105205gmail-m_-7010149880943729094gmail-shorttext"/>
    <w:basedOn w:val="DefaultParagraphFont"/>
    <w:rsid w:val="00330DA5"/>
  </w:style>
  <w:style w:type="character" w:customStyle="1" w:styleId="im">
    <w:name w:val="im"/>
    <w:basedOn w:val="DefaultParagraphFont"/>
    <w:rsid w:val="00330DA5"/>
  </w:style>
  <w:style w:type="table" w:styleId="TableGrid">
    <w:name w:val="Table Grid"/>
    <w:basedOn w:val="TableNormal"/>
    <w:uiPriority w:val="39"/>
    <w:rsid w:val="00330DA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3A7742"/>
    <w:pPr>
      <w:tabs>
        <w:tab w:val="right" w:leader="dot" w:pos="9016"/>
      </w:tabs>
      <w:spacing w:after="0"/>
      <w:ind w:left="216"/>
    </w:pPr>
    <w:rPr>
      <w:rFonts w:ascii="Tahoma" w:eastAsia="Calibri" w:hAnsi="Tahoma"/>
    </w:rPr>
  </w:style>
  <w:style w:type="paragraph" w:styleId="Title">
    <w:name w:val="Title"/>
    <w:basedOn w:val="Normal"/>
    <w:next w:val="Normal"/>
    <w:link w:val="TitleChar"/>
    <w:uiPriority w:val="10"/>
    <w:qFormat/>
    <w:rsid w:val="008310A1"/>
    <w:pPr>
      <w:spacing w:after="0"/>
      <w:jc w:val="center"/>
    </w:pPr>
    <w:rPr>
      <w:rFonts w:eastAsia="Calibri" w:cs="Arial"/>
      <w:b/>
      <w:caps/>
      <w:color w:val="003152"/>
      <w:sz w:val="48"/>
      <w:szCs w:val="36"/>
    </w:rPr>
  </w:style>
  <w:style w:type="character" w:customStyle="1" w:styleId="TitleChar">
    <w:name w:val="Title Char"/>
    <w:link w:val="Title"/>
    <w:uiPriority w:val="10"/>
    <w:rsid w:val="008310A1"/>
    <w:rPr>
      <w:rFonts w:ascii="Cambria" w:eastAsia="Calibri" w:hAnsi="Cambria" w:cs="Arial"/>
      <w:b/>
      <w:caps/>
      <w:color w:val="003152"/>
      <w:sz w:val="48"/>
      <w:szCs w:val="36"/>
      <w:lang w:val="en-GB"/>
    </w:rPr>
  </w:style>
  <w:style w:type="paragraph" w:styleId="NoSpacing">
    <w:name w:val="No Spacing"/>
    <w:uiPriority w:val="1"/>
    <w:qFormat/>
    <w:rsid w:val="00330DA5"/>
    <w:pPr>
      <w:jc w:val="both"/>
    </w:pPr>
    <w:rPr>
      <w:rFonts w:ascii="Tahoma" w:eastAsia="Calibri" w:hAnsi="Tahoma"/>
      <w:sz w:val="22"/>
      <w:szCs w:val="22"/>
      <w:lang w:eastAsia="en-US"/>
    </w:rPr>
  </w:style>
  <w:style w:type="paragraph" w:customStyle="1" w:styleId="Char2">
    <w:name w:val="Char2"/>
    <w:basedOn w:val="Normal"/>
    <w:link w:val="FootnoteReference"/>
    <w:uiPriority w:val="99"/>
    <w:rsid w:val="00C759F2"/>
    <w:pPr>
      <w:spacing w:after="160" w:line="240" w:lineRule="exact"/>
    </w:pPr>
    <w:rPr>
      <w:vertAlign w:val="superscript"/>
    </w:rPr>
  </w:style>
  <w:style w:type="paragraph" w:customStyle="1" w:styleId="pprag2-notoc">
    <w:name w:val="pprag2 - no toc"/>
    <w:basedOn w:val="Heading3"/>
    <w:qFormat/>
    <w:rsid w:val="00CB3762"/>
    <w:pPr>
      <w:keepLines w:val="0"/>
      <w:numPr>
        <w:ilvl w:val="1"/>
        <w:numId w:val="1"/>
      </w:numPr>
      <w:spacing w:before="0" w:after="60" w:line="360" w:lineRule="auto"/>
    </w:pPr>
    <w:rPr>
      <w:rFonts w:ascii="Times New Roman" w:hAnsi="Times New Roman"/>
      <w:color w:val="auto"/>
      <w:szCs w:val="26"/>
      <w:lang w:eastAsia="en-GB"/>
    </w:rPr>
  </w:style>
  <w:style w:type="paragraph" w:customStyle="1" w:styleId="Heading4a">
    <w:name w:val="Heading 4a"/>
    <w:basedOn w:val="Heading4"/>
    <w:qFormat/>
    <w:rsid w:val="00CB3762"/>
    <w:pPr>
      <w:keepLines w:val="0"/>
      <w:numPr>
        <w:ilvl w:val="2"/>
        <w:numId w:val="1"/>
      </w:numPr>
      <w:spacing w:before="0" w:after="60" w:line="360" w:lineRule="auto"/>
    </w:pPr>
    <w:rPr>
      <w:rFonts w:ascii="Times New Roman" w:hAnsi="Times New Roman"/>
      <w:bCs w:val="0"/>
      <w:i w:val="0"/>
      <w:iCs w:val="0"/>
      <w:color w:val="auto"/>
      <w:sz w:val="24"/>
      <w:szCs w:val="26"/>
      <w:lang w:eastAsia="en-GB"/>
    </w:rPr>
  </w:style>
  <w:style w:type="character" w:customStyle="1" w:styleId="Heading3Char">
    <w:name w:val="Heading 3 Char"/>
    <w:link w:val="Heading3"/>
    <w:uiPriority w:val="9"/>
    <w:rsid w:val="00C61E45"/>
    <w:rPr>
      <w:rFonts w:ascii="Cambria" w:hAnsi="Cambria"/>
      <w:b/>
      <w:bCs/>
      <w:color w:val="4F97A3"/>
      <w:sz w:val="24"/>
      <w:szCs w:val="22"/>
    </w:rPr>
  </w:style>
  <w:style w:type="character" w:customStyle="1" w:styleId="Heading4Char">
    <w:name w:val="Heading 4 Char"/>
    <w:link w:val="Heading4"/>
    <w:uiPriority w:val="9"/>
    <w:rsid w:val="00CB3762"/>
    <w:rPr>
      <w:rFonts w:ascii="Cambria" w:eastAsia="Times New Roman" w:hAnsi="Cambria" w:cs="Times New Roman"/>
      <w:b/>
      <w:bCs/>
      <w:i/>
      <w:iCs/>
      <w:color w:val="4F81BD"/>
    </w:rPr>
  </w:style>
  <w:style w:type="paragraph" w:customStyle="1" w:styleId="Default">
    <w:name w:val="Default"/>
    <w:rsid w:val="00E40D41"/>
    <w:pPr>
      <w:autoSpaceDE w:val="0"/>
      <w:autoSpaceDN w:val="0"/>
      <w:adjustRightInd w:val="0"/>
    </w:pPr>
    <w:rPr>
      <w:rFonts w:ascii="Arial" w:hAnsi="Arial" w:cs="Arial"/>
      <w:color w:val="000000"/>
      <w:sz w:val="24"/>
      <w:szCs w:val="24"/>
      <w:lang w:eastAsia="en-US"/>
    </w:rPr>
  </w:style>
  <w:style w:type="paragraph" w:styleId="TOC3">
    <w:name w:val="toc 3"/>
    <w:basedOn w:val="Normal"/>
    <w:next w:val="Normal"/>
    <w:autoRedefine/>
    <w:uiPriority w:val="39"/>
    <w:unhideWhenUsed/>
    <w:rsid w:val="00F95885"/>
    <w:pPr>
      <w:tabs>
        <w:tab w:val="right" w:leader="dot" w:pos="9350"/>
      </w:tabs>
      <w:ind w:left="440"/>
    </w:pPr>
    <w:rPr>
      <w:noProof/>
    </w:rPr>
  </w:style>
  <w:style w:type="paragraph" w:styleId="Subtitle">
    <w:name w:val="Subtitle"/>
    <w:basedOn w:val="Normal"/>
    <w:next w:val="Normal"/>
    <w:link w:val="SubtitleChar"/>
    <w:uiPriority w:val="11"/>
    <w:qFormat/>
    <w:rsid w:val="000C3BAC"/>
    <w:pPr>
      <w:numPr>
        <w:ilvl w:val="1"/>
      </w:numPr>
      <w:jc w:val="center"/>
    </w:pPr>
    <w:rPr>
      <w:b/>
      <w:iCs/>
      <w:color w:val="4BACC6"/>
      <w:spacing w:val="15"/>
      <w:sz w:val="36"/>
      <w:szCs w:val="24"/>
    </w:rPr>
  </w:style>
  <w:style w:type="character" w:customStyle="1" w:styleId="SubtitleChar">
    <w:name w:val="Subtitle Char"/>
    <w:link w:val="Subtitle"/>
    <w:uiPriority w:val="11"/>
    <w:rsid w:val="000C3BAC"/>
    <w:rPr>
      <w:rFonts w:ascii="Cambria" w:hAnsi="Cambria"/>
      <w:b/>
      <w:iCs/>
      <w:color w:val="4BACC6"/>
      <w:spacing w:val="15"/>
      <w:sz w:val="36"/>
      <w:szCs w:val="24"/>
    </w:rPr>
  </w:style>
  <w:style w:type="character" w:styleId="CommentReference">
    <w:name w:val="annotation reference"/>
    <w:uiPriority w:val="99"/>
    <w:semiHidden/>
    <w:unhideWhenUsed/>
    <w:rsid w:val="00B16529"/>
    <w:rPr>
      <w:sz w:val="16"/>
      <w:szCs w:val="16"/>
    </w:rPr>
  </w:style>
  <w:style w:type="table" w:customStyle="1" w:styleId="TableGrid1">
    <w:name w:val="Table Grid1"/>
    <w:basedOn w:val="TableNormal"/>
    <w:next w:val="TableGrid"/>
    <w:uiPriority w:val="39"/>
    <w:rsid w:val="00A31E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List Paragraph (numbered (a)) Char,Bullets Char,List Paragraph1 Char,Akapit z listą BS Char,WB Para Char,List Paragraph Char Char Char Char,Use Case List Paragraph Char,List Paragraph2 Char,Bullet Points Char"/>
    <w:link w:val="ListParagraph"/>
    <w:uiPriority w:val="34"/>
    <w:qFormat/>
    <w:locked/>
    <w:rsid w:val="0011558A"/>
    <w:rPr>
      <w:rFonts w:ascii="Tahoma" w:eastAsia="Calibri" w:hAnsi="Tahoma"/>
      <w:sz w:val="22"/>
      <w:szCs w:val="22"/>
      <w:lang w:val="en-GB"/>
    </w:rPr>
  </w:style>
  <w:style w:type="character" w:styleId="UnresolvedMention">
    <w:name w:val="Unresolved Mention"/>
    <w:uiPriority w:val="99"/>
    <w:semiHidden/>
    <w:unhideWhenUsed/>
    <w:rsid w:val="00505AA9"/>
    <w:rPr>
      <w:color w:val="605E5C"/>
      <w:shd w:val="clear" w:color="auto" w:fill="E1DFDD"/>
    </w:rPr>
  </w:style>
  <w:style w:type="paragraph" w:styleId="Revision">
    <w:name w:val="Revision"/>
    <w:hidden/>
    <w:uiPriority w:val="99"/>
    <w:semiHidden/>
    <w:rsid w:val="00BB25C1"/>
    <w:rPr>
      <w:rFonts w:ascii="Cambria" w:hAnsi="Cambria"/>
      <w:sz w:val="22"/>
      <w:szCs w:val="22"/>
      <w:lang w:val="en-GB" w:eastAsia="en-US"/>
    </w:rPr>
  </w:style>
  <w:style w:type="character" w:customStyle="1" w:styleId="cf01">
    <w:name w:val="cf01"/>
    <w:rsid w:val="004574D6"/>
    <w:rPr>
      <w:rFonts w:ascii="Segoe UI" w:hAnsi="Segoe UI" w:cs="Segoe UI" w:hint="default"/>
      <w:sz w:val="18"/>
      <w:szCs w:val="18"/>
    </w:rPr>
  </w:style>
  <w:style w:type="character" w:styleId="Emphasis">
    <w:name w:val="Emphasis"/>
    <w:basedOn w:val="DefaultParagraphFont"/>
    <w:uiPriority w:val="20"/>
    <w:qFormat/>
    <w:rsid w:val="008A3D2A"/>
    <w:rPr>
      <w:i/>
      <w:iCs/>
    </w:rPr>
  </w:style>
  <w:style w:type="character" w:customStyle="1" w:styleId="go">
    <w:name w:val="go"/>
    <w:basedOn w:val="DefaultParagraphFont"/>
    <w:rsid w:val="008A3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107">
      <w:bodyDiv w:val="1"/>
      <w:marLeft w:val="0"/>
      <w:marRight w:val="0"/>
      <w:marTop w:val="0"/>
      <w:marBottom w:val="0"/>
      <w:divBdr>
        <w:top w:val="none" w:sz="0" w:space="0" w:color="auto"/>
        <w:left w:val="none" w:sz="0" w:space="0" w:color="auto"/>
        <w:bottom w:val="none" w:sz="0" w:space="0" w:color="auto"/>
        <w:right w:val="none" w:sz="0" w:space="0" w:color="auto"/>
      </w:divBdr>
    </w:div>
    <w:div w:id="74059967">
      <w:bodyDiv w:val="1"/>
      <w:marLeft w:val="0"/>
      <w:marRight w:val="0"/>
      <w:marTop w:val="0"/>
      <w:marBottom w:val="0"/>
      <w:divBdr>
        <w:top w:val="none" w:sz="0" w:space="0" w:color="auto"/>
        <w:left w:val="none" w:sz="0" w:space="0" w:color="auto"/>
        <w:bottom w:val="none" w:sz="0" w:space="0" w:color="auto"/>
        <w:right w:val="none" w:sz="0" w:space="0" w:color="auto"/>
      </w:divBdr>
    </w:div>
    <w:div w:id="259604436">
      <w:bodyDiv w:val="1"/>
      <w:marLeft w:val="0"/>
      <w:marRight w:val="0"/>
      <w:marTop w:val="0"/>
      <w:marBottom w:val="0"/>
      <w:divBdr>
        <w:top w:val="none" w:sz="0" w:space="0" w:color="auto"/>
        <w:left w:val="none" w:sz="0" w:space="0" w:color="auto"/>
        <w:bottom w:val="none" w:sz="0" w:space="0" w:color="auto"/>
        <w:right w:val="none" w:sz="0" w:space="0" w:color="auto"/>
      </w:divBdr>
    </w:div>
    <w:div w:id="425273631">
      <w:bodyDiv w:val="1"/>
      <w:marLeft w:val="0"/>
      <w:marRight w:val="0"/>
      <w:marTop w:val="0"/>
      <w:marBottom w:val="0"/>
      <w:divBdr>
        <w:top w:val="none" w:sz="0" w:space="0" w:color="auto"/>
        <w:left w:val="none" w:sz="0" w:space="0" w:color="auto"/>
        <w:bottom w:val="none" w:sz="0" w:space="0" w:color="auto"/>
        <w:right w:val="none" w:sz="0" w:space="0" w:color="auto"/>
      </w:divBdr>
    </w:div>
    <w:div w:id="465051502">
      <w:bodyDiv w:val="1"/>
      <w:marLeft w:val="0"/>
      <w:marRight w:val="0"/>
      <w:marTop w:val="0"/>
      <w:marBottom w:val="0"/>
      <w:divBdr>
        <w:top w:val="none" w:sz="0" w:space="0" w:color="auto"/>
        <w:left w:val="none" w:sz="0" w:space="0" w:color="auto"/>
        <w:bottom w:val="none" w:sz="0" w:space="0" w:color="auto"/>
        <w:right w:val="none" w:sz="0" w:space="0" w:color="auto"/>
      </w:divBdr>
      <w:divsChild>
        <w:div w:id="1541743973">
          <w:marLeft w:val="0"/>
          <w:marRight w:val="0"/>
          <w:marTop w:val="0"/>
          <w:marBottom w:val="0"/>
          <w:divBdr>
            <w:top w:val="none" w:sz="0" w:space="0" w:color="auto"/>
            <w:left w:val="none" w:sz="0" w:space="0" w:color="auto"/>
            <w:bottom w:val="none" w:sz="0" w:space="0" w:color="auto"/>
            <w:right w:val="none" w:sz="0" w:space="0" w:color="auto"/>
          </w:divBdr>
        </w:div>
        <w:div w:id="765928401">
          <w:marLeft w:val="0"/>
          <w:marRight w:val="0"/>
          <w:marTop w:val="0"/>
          <w:marBottom w:val="0"/>
          <w:divBdr>
            <w:top w:val="none" w:sz="0" w:space="0" w:color="auto"/>
            <w:left w:val="none" w:sz="0" w:space="0" w:color="auto"/>
            <w:bottom w:val="none" w:sz="0" w:space="0" w:color="auto"/>
            <w:right w:val="none" w:sz="0" w:space="0" w:color="auto"/>
          </w:divBdr>
        </w:div>
        <w:div w:id="646397450">
          <w:marLeft w:val="0"/>
          <w:marRight w:val="0"/>
          <w:marTop w:val="0"/>
          <w:marBottom w:val="0"/>
          <w:divBdr>
            <w:top w:val="none" w:sz="0" w:space="0" w:color="auto"/>
            <w:left w:val="none" w:sz="0" w:space="0" w:color="auto"/>
            <w:bottom w:val="none" w:sz="0" w:space="0" w:color="auto"/>
            <w:right w:val="none" w:sz="0" w:space="0" w:color="auto"/>
          </w:divBdr>
        </w:div>
      </w:divsChild>
    </w:div>
    <w:div w:id="609245580">
      <w:bodyDiv w:val="1"/>
      <w:marLeft w:val="0"/>
      <w:marRight w:val="0"/>
      <w:marTop w:val="0"/>
      <w:marBottom w:val="0"/>
      <w:divBdr>
        <w:top w:val="none" w:sz="0" w:space="0" w:color="auto"/>
        <w:left w:val="none" w:sz="0" w:space="0" w:color="auto"/>
        <w:bottom w:val="none" w:sz="0" w:space="0" w:color="auto"/>
        <w:right w:val="none" w:sz="0" w:space="0" w:color="auto"/>
      </w:divBdr>
    </w:div>
    <w:div w:id="690692865">
      <w:bodyDiv w:val="1"/>
      <w:marLeft w:val="0"/>
      <w:marRight w:val="0"/>
      <w:marTop w:val="0"/>
      <w:marBottom w:val="0"/>
      <w:divBdr>
        <w:top w:val="none" w:sz="0" w:space="0" w:color="auto"/>
        <w:left w:val="none" w:sz="0" w:space="0" w:color="auto"/>
        <w:bottom w:val="none" w:sz="0" w:space="0" w:color="auto"/>
        <w:right w:val="none" w:sz="0" w:space="0" w:color="auto"/>
      </w:divBdr>
    </w:div>
    <w:div w:id="695737294">
      <w:bodyDiv w:val="1"/>
      <w:marLeft w:val="0"/>
      <w:marRight w:val="0"/>
      <w:marTop w:val="0"/>
      <w:marBottom w:val="0"/>
      <w:divBdr>
        <w:top w:val="none" w:sz="0" w:space="0" w:color="auto"/>
        <w:left w:val="none" w:sz="0" w:space="0" w:color="auto"/>
        <w:bottom w:val="none" w:sz="0" w:space="0" w:color="auto"/>
        <w:right w:val="none" w:sz="0" w:space="0" w:color="auto"/>
      </w:divBdr>
    </w:div>
    <w:div w:id="771900586">
      <w:bodyDiv w:val="1"/>
      <w:marLeft w:val="0"/>
      <w:marRight w:val="0"/>
      <w:marTop w:val="0"/>
      <w:marBottom w:val="0"/>
      <w:divBdr>
        <w:top w:val="none" w:sz="0" w:space="0" w:color="auto"/>
        <w:left w:val="none" w:sz="0" w:space="0" w:color="auto"/>
        <w:bottom w:val="none" w:sz="0" w:space="0" w:color="auto"/>
        <w:right w:val="none" w:sz="0" w:space="0" w:color="auto"/>
      </w:divBdr>
    </w:div>
    <w:div w:id="791049832">
      <w:bodyDiv w:val="1"/>
      <w:marLeft w:val="0"/>
      <w:marRight w:val="0"/>
      <w:marTop w:val="0"/>
      <w:marBottom w:val="0"/>
      <w:divBdr>
        <w:top w:val="none" w:sz="0" w:space="0" w:color="auto"/>
        <w:left w:val="none" w:sz="0" w:space="0" w:color="auto"/>
        <w:bottom w:val="none" w:sz="0" w:space="0" w:color="auto"/>
        <w:right w:val="none" w:sz="0" w:space="0" w:color="auto"/>
      </w:divBdr>
    </w:div>
    <w:div w:id="799955855">
      <w:bodyDiv w:val="1"/>
      <w:marLeft w:val="0"/>
      <w:marRight w:val="0"/>
      <w:marTop w:val="0"/>
      <w:marBottom w:val="0"/>
      <w:divBdr>
        <w:top w:val="none" w:sz="0" w:space="0" w:color="auto"/>
        <w:left w:val="none" w:sz="0" w:space="0" w:color="auto"/>
        <w:bottom w:val="none" w:sz="0" w:space="0" w:color="auto"/>
        <w:right w:val="none" w:sz="0" w:space="0" w:color="auto"/>
      </w:divBdr>
    </w:div>
    <w:div w:id="810824978">
      <w:bodyDiv w:val="1"/>
      <w:marLeft w:val="0"/>
      <w:marRight w:val="0"/>
      <w:marTop w:val="0"/>
      <w:marBottom w:val="0"/>
      <w:divBdr>
        <w:top w:val="none" w:sz="0" w:space="0" w:color="auto"/>
        <w:left w:val="none" w:sz="0" w:space="0" w:color="auto"/>
        <w:bottom w:val="none" w:sz="0" w:space="0" w:color="auto"/>
        <w:right w:val="none" w:sz="0" w:space="0" w:color="auto"/>
      </w:divBdr>
      <w:divsChild>
        <w:div w:id="445347823">
          <w:marLeft w:val="0"/>
          <w:marRight w:val="0"/>
          <w:marTop w:val="0"/>
          <w:marBottom w:val="0"/>
          <w:divBdr>
            <w:top w:val="none" w:sz="0" w:space="0" w:color="auto"/>
            <w:left w:val="none" w:sz="0" w:space="0" w:color="auto"/>
            <w:bottom w:val="none" w:sz="0" w:space="0" w:color="auto"/>
            <w:right w:val="none" w:sz="0" w:space="0" w:color="auto"/>
          </w:divBdr>
          <w:divsChild>
            <w:div w:id="176772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61136">
      <w:bodyDiv w:val="1"/>
      <w:marLeft w:val="0"/>
      <w:marRight w:val="0"/>
      <w:marTop w:val="0"/>
      <w:marBottom w:val="0"/>
      <w:divBdr>
        <w:top w:val="none" w:sz="0" w:space="0" w:color="auto"/>
        <w:left w:val="none" w:sz="0" w:space="0" w:color="auto"/>
        <w:bottom w:val="none" w:sz="0" w:space="0" w:color="auto"/>
        <w:right w:val="none" w:sz="0" w:space="0" w:color="auto"/>
      </w:divBdr>
    </w:div>
    <w:div w:id="886064511">
      <w:bodyDiv w:val="1"/>
      <w:marLeft w:val="0"/>
      <w:marRight w:val="0"/>
      <w:marTop w:val="0"/>
      <w:marBottom w:val="0"/>
      <w:divBdr>
        <w:top w:val="none" w:sz="0" w:space="0" w:color="auto"/>
        <w:left w:val="none" w:sz="0" w:space="0" w:color="auto"/>
        <w:bottom w:val="none" w:sz="0" w:space="0" w:color="auto"/>
        <w:right w:val="none" w:sz="0" w:space="0" w:color="auto"/>
      </w:divBdr>
    </w:div>
    <w:div w:id="1111625520">
      <w:bodyDiv w:val="1"/>
      <w:marLeft w:val="0"/>
      <w:marRight w:val="0"/>
      <w:marTop w:val="0"/>
      <w:marBottom w:val="0"/>
      <w:divBdr>
        <w:top w:val="none" w:sz="0" w:space="0" w:color="auto"/>
        <w:left w:val="none" w:sz="0" w:space="0" w:color="auto"/>
        <w:bottom w:val="none" w:sz="0" w:space="0" w:color="auto"/>
        <w:right w:val="none" w:sz="0" w:space="0" w:color="auto"/>
      </w:divBdr>
    </w:div>
    <w:div w:id="1124038731">
      <w:bodyDiv w:val="1"/>
      <w:marLeft w:val="0"/>
      <w:marRight w:val="0"/>
      <w:marTop w:val="0"/>
      <w:marBottom w:val="0"/>
      <w:divBdr>
        <w:top w:val="none" w:sz="0" w:space="0" w:color="auto"/>
        <w:left w:val="none" w:sz="0" w:space="0" w:color="auto"/>
        <w:bottom w:val="none" w:sz="0" w:space="0" w:color="auto"/>
        <w:right w:val="none" w:sz="0" w:space="0" w:color="auto"/>
      </w:divBdr>
    </w:div>
    <w:div w:id="1188518599">
      <w:bodyDiv w:val="1"/>
      <w:marLeft w:val="0"/>
      <w:marRight w:val="0"/>
      <w:marTop w:val="0"/>
      <w:marBottom w:val="0"/>
      <w:divBdr>
        <w:top w:val="none" w:sz="0" w:space="0" w:color="auto"/>
        <w:left w:val="none" w:sz="0" w:space="0" w:color="auto"/>
        <w:bottom w:val="none" w:sz="0" w:space="0" w:color="auto"/>
        <w:right w:val="none" w:sz="0" w:space="0" w:color="auto"/>
      </w:divBdr>
    </w:div>
    <w:div w:id="1202940900">
      <w:bodyDiv w:val="1"/>
      <w:marLeft w:val="0"/>
      <w:marRight w:val="0"/>
      <w:marTop w:val="0"/>
      <w:marBottom w:val="0"/>
      <w:divBdr>
        <w:top w:val="none" w:sz="0" w:space="0" w:color="auto"/>
        <w:left w:val="none" w:sz="0" w:space="0" w:color="auto"/>
        <w:bottom w:val="none" w:sz="0" w:space="0" w:color="auto"/>
        <w:right w:val="none" w:sz="0" w:space="0" w:color="auto"/>
      </w:divBdr>
    </w:div>
    <w:div w:id="1285042731">
      <w:bodyDiv w:val="1"/>
      <w:marLeft w:val="0"/>
      <w:marRight w:val="0"/>
      <w:marTop w:val="0"/>
      <w:marBottom w:val="0"/>
      <w:divBdr>
        <w:top w:val="none" w:sz="0" w:space="0" w:color="auto"/>
        <w:left w:val="none" w:sz="0" w:space="0" w:color="auto"/>
        <w:bottom w:val="none" w:sz="0" w:space="0" w:color="auto"/>
        <w:right w:val="none" w:sz="0" w:space="0" w:color="auto"/>
      </w:divBdr>
    </w:div>
    <w:div w:id="1361125885">
      <w:bodyDiv w:val="1"/>
      <w:marLeft w:val="0"/>
      <w:marRight w:val="0"/>
      <w:marTop w:val="0"/>
      <w:marBottom w:val="0"/>
      <w:divBdr>
        <w:top w:val="none" w:sz="0" w:space="0" w:color="auto"/>
        <w:left w:val="none" w:sz="0" w:space="0" w:color="auto"/>
        <w:bottom w:val="none" w:sz="0" w:space="0" w:color="auto"/>
        <w:right w:val="none" w:sz="0" w:space="0" w:color="auto"/>
      </w:divBdr>
    </w:div>
    <w:div w:id="1409301264">
      <w:bodyDiv w:val="1"/>
      <w:marLeft w:val="0"/>
      <w:marRight w:val="0"/>
      <w:marTop w:val="0"/>
      <w:marBottom w:val="0"/>
      <w:divBdr>
        <w:top w:val="none" w:sz="0" w:space="0" w:color="auto"/>
        <w:left w:val="none" w:sz="0" w:space="0" w:color="auto"/>
        <w:bottom w:val="none" w:sz="0" w:space="0" w:color="auto"/>
        <w:right w:val="none" w:sz="0" w:space="0" w:color="auto"/>
      </w:divBdr>
    </w:div>
    <w:div w:id="1441410901">
      <w:bodyDiv w:val="1"/>
      <w:marLeft w:val="0"/>
      <w:marRight w:val="0"/>
      <w:marTop w:val="0"/>
      <w:marBottom w:val="0"/>
      <w:divBdr>
        <w:top w:val="none" w:sz="0" w:space="0" w:color="auto"/>
        <w:left w:val="none" w:sz="0" w:space="0" w:color="auto"/>
        <w:bottom w:val="none" w:sz="0" w:space="0" w:color="auto"/>
        <w:right w:val="none" w:sz="0" w:space="0" w:color="auto"/>
      </w:divBdr>
    </w:div>
    <w:div w:id="1567301351">
      <w:bodyDiv w:val="1"/>
      <w:marLeft w:val="0"/>
      <w:marRight w:val="0"/>
      <w:marTop w:val="0"/>
      <w:marBottom w:val="0"/>
      <w:divBdr>
        <w:top w:val="none" w:sz="0" w:space="0" w:color="auto"/>
        <w:left w:val="none" w:sz="0" w:space="0" w:color="auto"/>
        <w:bottom w:val="none" w:sz="0" w:space="0" w:color="auto"/>
        <w:right w:val="none" w:sz="0" w:space="0" w:color="auto"/>
      </w:divBdr>
    </w:div>
    <w:div w:id="1726761920">
      <w:bodyDiv w:val="1"/>
      <w:marLeft w:val="0"/>
      <w:marRight w:val="0"/>
      <w:marTop w:val="0"/>
      <w:marBottom w:val="0"/>
      <w:divBdr>
        <w:top w:val="none" w:sz="0" w:space="0" w:color="auto"/>
        <w:left w:val="none" w:sz="0" w:space="0" w:color="auto"/>
        <w:bottom w:val="none" w:sz="0" w:space="0" w:color="auto"/>
        <w:right w:val="none" w:sz="0" w:space="0" w:color="auto"/>
      </w:divBdr>
    </w:div>
    <w:div w:id="1909487565">
      <w:bodyDiv w:val="1"/>
      <w:marLeft w:val="0"/>
      <w:marRight w:val="0"/>
      <w:marTop w:val="0"/>
      <w:marBottom w:val="0"/>
      <w:divBdr>
        <w:top w:val="none" w:sz="0" w:space="0" w:color="auto"/>
        <w:left w:val="none" w:sz="0" w:space="0" w:color="auto"/>
        <w:bottom w:val="none" w:sz="0" w:space="0" w:color="auto"/>
        <w:right w:val="none" w:sz="0" w:space="0" w:color="auto"/>
      </w:divBdr>
    </w:div>
    <w:div w:id="1922595778">
      <w:bodyDiv w:val="1"/>
      <w:marLeft w:val="0"/>
      <w:marRight w:val="0"/>
      <w:marTop w:val="0"/>
      <w:marBottom w:val="0"/>
      <w:divBdr>
        <w:top w:val="none" w:sz="0" w:space="0" w:color="auto"/>
        <w:left w:val="none" w:sz="0" w:space="0" w:color="auto"/>
        <w:bottom w:val="none" w:sz="0" w:space="0" w:color="auto"/>
        <w:right w:val="none" w:sz="0" w:space="0" w:color="auto"/>
      </w:divBdr>
    </w:div>
    <w:div w:id="1978411733">
      <w:bodyDiv w:val="1"/>
      <w:marLeft w:val="0"/>
      <w:marRight w:val="0"/>
      <w:marTop w:val="0"/>
      <w:marBottom w:val="0"/>
      <w:divBdr>
        <w:top w:val="none" w:sz="0" w:space="0" w:color="auto"/>
        <w:left w:val="none" w:sz="0" w:space="0" w:color="auto"/>
        <w:bottom w:val="none" w:sz="0" w:space="0" w:color="auto"/>
        <w:right w:val="none" w:sz="0" w:space="0" w:color="auto"/>
      </w:divBdr>
    </w:div>
    <w:div w:id="20533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ec.europa.eu/neighbourhood-enlargement/albania-report-2021_en" TargetMode="External"/><Relationship Id="rId26" Type="http://schemas.openxmlformats.org/officeDocument/2006/relationships/hyperlink" Target="https://shtetiweb.org/wp-content/uploads/2014/06/NSDI_2014-2020_version_JUne-2013.pdf" TargetMode="External"/><Relationship Id="rId39" Type="http://schemas.openxmlformats.org/officeDocument/2006/relationships/theme" Target="theme/theme1.xml"/><Relationship Id="rId21" Type="http://schemas.openxmlformats.org/officeDocument/2006/relationships/hyperlink" Target="http://integrimi-ne-be.punetejashtme.gov.al/anetaresimi-ne-be/takime-te-perbashketa/" TargetMode="External"/><Relationship Id="rId34" Type="http://schemas.openxmlformats.org/officeDocument/2006/relationships/hyperlink" Target="https://punetejashtme.gov.al/wp-content/uploads/2021/11/2020-11-04-struktura-e-re-OK-me-KS-MEPJ-3.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em-al.org/sq/albanias-eu-membership-process/" TargetMode="External"/><Relationship Id="rId25" Type="http://schemas.openxmlformats.org/officeDocument/2006/relationships/hyperlink" Target="http://www.instat.gov.al/media/8713/burra-dhe-gra.pdf" TargetMode="External"/><Relationship Id="rId33" Type="http://schemas.openxmlformats.org/officeDocument/2006/relationships/hyperlink" Target="https://konsultimipublik.gov.al/documents/RENJK_348_RENJK_348_IPA%20III%20DRAFT%20STRATEGIC%20RESPONSE%20ALBANIA_10%20May%202021.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mira.jorgji@mfa.gov.al" TargetMode="External"/><Relationship Id="rId20" Type="http://schemas.openxmlformats.org/officeDocument/2006/relationships/hyperlink" Target="http://integrimi-ne-be.punetejashtme.gov.al/" TargetMode="External"/><Relationship Id="rId29" Type="http://schemas.openxmlformats.org/officeDocument/2006/relationships/hyperlink" Target="https://ec.europa.eu/neighbourhood-enlargement/system/files/2022-01/C_2021_9730_F1_ANNEX_EN_V1_P1_167462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instat.gov.al/en/publications/books/2020/gender-equality-index-for-the-republic-of-albania-2020/" TargetMode="External"/><Relationship Id="rId32" Type="http://schemas.openxmlformats.org/officeDocument/2006/relationships/hyperlink" Target="https://resourcecentre.al/wp-content/uploads/2020/03/Have-you-say-in-IPA-III_Feedback.pdf"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ec.europa.eu/neighbourhood-enlargement/enlargement-policy/overview-instrument-pre-accession-assistance/albania-financial-assistance-under-ipa-iii_en" TargetMode="External"/><Relationship Id="rId28" Type="http://schemas.openxmlformats.org/officeDocument/2006/relationships/hyperlink" Target="https://ec.europa.eu/neighbourhood-enlargement/system/files/2022-01/C_2021_9730_F1_ANNEX_EN_V1_P1_1674609.PDF"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europarl.europa.eu/news/en/press-room/20220517IPR29936/albania-and-north-macedonia-meps-demand-eu-starts-accession-talks" TargetMode="External"/><Relationship Id="rId31" Type="http://schemas.openxmlformats.org/officeDocument/2006/relationships/hyperlink" Target="https://ec.europa.eu/neighbourhood-enlargement/system/files/2022-01/C_2021_9730_F1_ANNEX_EN_V1_P1_1674689.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integrimi-ne-be.punetejashtme.gov.al/wp-content/uploads/2021/12/Nenkomiteti-i-13_2021-JFS-_-Deklarata-per-shtyp-ne-shqip.pdf" TargetMode="External"/><Relationship Id="rId27" Type="http://schemas.openxmlformats.org/officeDocument/2006/relationships/hyperlink" Target="https://ec.europa.eu/neighbourhood-enlargement/system/files/2022-01/C_2021_9730_F1_ANNEX_EN_V1_P1_1674609.PDF" TargetMode="External"/><Relationship Id="rId30" Type="http://schemas.openxmlformats.org/officeDocument/2006/relationships/hyperlink" Target="https://ec.europa.eu/neighbourhood-enlargement/system/files/2022-01/C_2021_9730_F1_ANNEX_EN_V1_P1_1674649.PDF"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oecd.org/dac/gender-development/Handbook-OECD-DAC-Gender-Equality-Policy-Marker.pdf" TargetMode="External"/><Relationship Id="rId13" Type="http://schemas.openxmlformats.org/officeDocument/2006/relationships/hyperlink" Target="https://ec.europa.eu/neighbourhood-enlargement/system/files/2022-01/C_2021_9730_F1_ANNEX_EN_V1_P1_1674689.PDF" TargetMode="External"/><Relationship Id="rId18" Type="http://schemas.openxmlformats.org/officeDocument/2006/relationships/hyperlink" Target="https://ec.europa.eu/neighbourhood-enlargement/enlargement-policy/overview-instrument-pre-accession-assistance/albania-financial-assistance-under-ipa-iii_en" TargetMode="External"/><Relationship Id="rId3" Type="http://schemas.openxmlformats.org/officeDocument/2006/relationships/hyperlink" Target="https://www.europarl.europa.eu/news/en/press-room/20220517IPR29936/albania-and-north-macedonia-meps-demand-eu-starts-accession-talks" TargetMode="External"/><Relationship Id="rId7" Type="http://schemas.openxmlformats.org/officeDocument/2006/relationships/hyperlink" Target="https://ec.europa.eu/neighbourhood-enlargement/enlargement-policy/overview-instrument-pre-accession-assistance/albania-financial-assistance-under-ipa-iii_en" TargetMode="External"/><Relationship Id="rId12" Type="http://schemas.openxmlformats.org/officeDocument/2006/relationships/hyperlink" Target="https://ec.europa.eu/neighbourhood-enlargement/system/files/2022-01/C_2021_9730_F1_ANNEX_EN_V1_P1_1674649.PDF" TargetMode="External"/><Relationship Id="rId17" Type="http://schemas.openxmlformats.org/officeDocument/2006/relationships/hyperlink" Target="https://punetejashtme.gov.al/wp-content/uploads/2021/11/2020-11-04-struktura-e-re-OK-me-KS-MEPJ-3.pdf" TargetMode="External"/><Relationship Id="rId2" Type="http://schemas.openxmlformats.org/officeDocument/2006/relationships/hyperlink" Target="https://ec.europa.eu/neighbourhood-enlargement/albania-report-2021_en" TargetMode="External"/><Relationship Id="rId16" Type="http://schemas.openxmlformats.org/officeDocument/2006/relationships/hyperlink" Target="http://www.instat.gov.al/en/publications/books/2020/gender-equality-index-for-the-republic-of-albania-2020/" TargetMode="External"/><Relationship Id="rId1" Type="http://schemas.openxmlformats.org/officeDocument/2006/relationships/hyperlink" Target="http://em-al.org/sq/albanias-eu-membership-process/" TargetMode="External"/><Relationship Id="rId6" Type="http://schemas.openxmlformats.org/officeDocument/2006/relationships/hyperlink" Target="http://integrimi-ne-be.punetejashtme.gov.al/wp-content/uploads/2021/12/Nenkomiteti-i-13_2021-JFS-_-Deklarata-per-shtyp-ne-shqip.pdf" TargetMode="External"/><Relationship Id="rId11" Type="http://schemas.openxmlformats.org/officeDocument/2006/relationships/hyperlink" Target="https://ec.europa.eu/neighbourhood-enlargement/system/files/2022-01/C_2021_9730_F1_ANNEX_EN_V1_P1_1674629.PDF" TargetMode="External"/><Relationship Id="rId5" Type="http://schemas.openxmlformats.org/officeDocument/2006/relationships/hyperlink" Target="http://integrimi-ne-be.punetejashtme.gov.al/anetaresimi-ne-be/takime-te-perbashketa/" TargetMode="External"/><Relationship Id="rId15" Type="http://schemas.openxmlformats.org/officeDocument/2006/relationships/hyperlink" Target="https://konsultimipublik.gov.al/documents/RENJK_348_RENJK_348_IPA%20III%20DRAFT%20STRATEGIC%20RESPONSE%20ALBANIA_10%20May%202021.pdf" TargetMode="External"/><Relationship Id="rId10" Type="http://schemas.openxmlformats.org/officeDocument/2006/relationships/hyperlink" Target="https://ec.europa.eu/neighbourhood-enlargement/system/files/2022-01/C_2021_9730_F1_ANNEX_EN_V1_P1_1674609.PDF" TargetMode="External"/><Relationship Id="rId4" Type="http://schemas.openxmlformats.org/officeDocument/2006/relationships/hyperlink" Target="http://integrimi-ne-be.punetejashtme.gov.al/" TargetMode="External"/><Relationship Id="rId9" Type="http://schemas.openxmlformats.org/officeDocument/2006/relationships/hyperlink" Target="https://ec.europa.eu/neighbourhood-enlargement/system/files/2022-01/C_2021_9730_F1_ANNEX_EN_V1_P1_1674609.PDF" TargetMode="External"/><Relationship Id="rId14" Type="http://schemas.openxmlformats.org/officeDocument/2006/relationships/hyperlink" Target="https://resourcecentre.al/wp-content/uploads/2020/03/Have-you-say-in-IPA-III_Feedba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1ead85b-033c-40b9-97a2-7da04997c14a">KTKPDB-1930209717-42041</_dlc_DocId>
    <_dlc_DocIdUrl xmlns="d1ead85b-033c-40b9-97a2-7da04997c14a">
      <Url>https://kvinnatillkvinna.sharepoint.com/grants/westernbalkans/_layouts/15/DocIdRedir.aspx?ID=KTKPDB-1930209717-42041</Url>
      <Description>KTKPDB-1930209717-42041</Description>
    </_dlc_DocIdUrl>
    <TaxCatchAll xmlns="d1ead85b-033c-40b9-97a2-7da04997c14a" xsi:nil="true"/>
    <lcf76f155ced4ddcb4097134ff3c332f xmlns="d2a283f7-b21c-45cb-870b-4eec1d312234">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1EFBB93D5E86A44B3D89FF329CF9D96" ma:contentTypeVersion="14" ma:contentTypeDescription="Create a new document." ma:contentTypeScope="" ma:versionID="a90d08df29af302b284201ea0aeb19a8">
  <xsd:schema xmlns:xsd="http://www.w3.org/2001/XMLSchema" xmlns:xs="http://www.w3.org/2001/XMLSchema" xmlns:p="http://schemas.microsoft.com/office/2006/metadata/properties" xmlns:ns2="d1ead85b-033c-40b9-97a2-7da04997c14a" xmlns:ns3="d2a283f7-b21c-45cb-870b-4eec1d312234" targetNamespace="http://schemas.microsoft.com/office/2006/metadata/properties" ma:root="true" ma:fieldsID="ea37e23c8e1335265014b37af2679b56" ns2:_="" ns3:_="">
    <xsd:import namespace="d1ead85b-033c-40b9-97a2-7da04997c14a"/>
    <xsd:import namespace="d2a283f7-b21c-45cb-870b-4eec1d3122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d85b-033c-40b9-97a2-7da04997c1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79fc75b8-cec2-4bae-9ea4-bd52806ed548}" ma:internalName="TaxCatchAll" ma:showField="CatchAllData" ma:web="d1ead85b-033c-40b9-97a2-7da04997c1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a283f7-b21c-45cb-870b-4eec1d3122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7647734-ada9-48fc-aaf8-4553a65854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F1C27-5949-417A-96DC-17AF05F82AEC}">
  <ds:schemaRefs>
    <ds:schemaRef ds:uri="http://schemas.microsoft.com/office/2006/metadata/properties"/>
    <ds:schemaRef ds:uri="http://schemas.microsoft.com/office/infopath/2007/PartnerControls"/>
    <ds:schemaRef ds:uri="d1ead85b-033c-40b9-97a2-7da04997c14a"/>
    <ds:schemaRef ds:uri="d2a283f7-b21c-45cb-870b-4eec1d312234"/>
  </ds:schemaRefs>
</ds:datastoreItem>
</file>

<file path=customXml/itemProps2.xml><?xml version="1.0" encoding="utf-8"?>
<ds:datastoreItem xmlns:ds="http://schemas.openxmlformats.org/officeDocument/2006/customXml" ds:itemID="{5679A383-FC5D-4E33-80F3-6F7E58DAB528}">
  <ds:schemaRefs>
    <ds:schemaRef ds:uri="http://schemas.microsoft.com/office/2006/metadata/longProperties"/>
  </ds:schemaRefs>
</ds:datastoreItem>
</file>

<file path=customXml/itemProps3.xml><?xml version="1.0" encoding="utf-8"?>
<ds:datastoreItem xmlns:ds="http://schemas.openxmlformats.org/officeDocument/2006/customXml" ds:itemID="{61B91A37-75B1-43B5-9279-1F463C2E9CC0}">
  <ds:schemaRefs>
    <ds:schemaRef ds:uri="http://schemas.microsoft.com/sharepoint/v3/contenttype/forms"/>
  </ds:schemaRefs>
</ds:datastoreItem>
</file>

<file path=customXml/itemProps4.xml><?xml version="1.0" encoding="utf-8"?>
<ds:datastoreItem xmlns:ds="http://schemas.openxmlformats.org/officeDocument/2006/customXml" ds:itemID="{FEDD540D-275A-4D7D-A171-29B0575A7916}">
  <ds:schemaRefs>
    <ds:schemaRef ds:uri="http://schemas.microsoft.com/sharepoint/events"/>
  </ds:schemaRefs>
</ds:datastoreItem>
</file>

<file path=customXml/itemProps5.xml><?xml version="1.0" encoding="utf-8"?>
<ds:datastoreItem xmlns:ds="http://schemas.openxmlformats.org/officeDocument/2006/customXml" ds:itemID="{2FC2CC84-005D-43FC-BE74-714BBACA0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d85b-033c-40b9-97a2-7da04997c14a"/>
    <ds:schemaRef ds:uri="d2a283f7-b21c-45cb-870b-4eec1d312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C620C-9F40-49F9-B7B1-E5C994A2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9499</Words>
  <Characters>54148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cp:lastModifiedBy>Anita Lushi</cp:lastModifiedBy>
  <cp:revision>17</cp:revision>
  <dcterms:created xsi:type="dcterms:W3CDTF">2022-07-15T14:55:00Z</dcterms:created>
  <dcterms:modified xsi:type="dcterms:W3CDTF">2024-04-16T11:04:00Z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KTKPDB-1930209717-42026</vt:lpwstr>
  </property>
  <property fmtid="{D5CDD505-2E9C-101B-9397-08002B2CF9AE}" pid="3" name="_dlc_DocIdItemGuid">
    <vt:lpwstr>f62c33c5-a978-47d4-a262-679168ce729f</vt:lpwstr>
  </property>
  <property fmtid="{D5CDD505-2E9C-101B-9397-08002B2CF9AE}" pid="4" name="_dlc_DocIdUrl">
    <vt:lpwstr>https://kvinnatillkvinna.sharepoint.com/grants/westernbalkans/_layouts/15/DocIdRedir.aspx?ID=KTKPDB-1930209717-42026, KTKPDB-1930209717-42026</vt:lpwstr>
  </property>
  <property fmtid="{D5CDD505-2E9C-101B-9397-08002B2CF9AE}" pid="5" name="TaxCatchAll">
    <vt:lpwstr/>
  </property>
  <property fmtid="{D5CDD505-2E9C-101B-9397-08002B2CF9AE}" pid="6" name="lcf76f155ced4ddcb4097134ff3c332f">
    <vt:lpwstr/>
  </property>
  <property fmtid="{D5CDD505-2E9C-101B-9397-08002B2CF9AE}" pid="7" name="ContentTypeId">
    <vt:lpwstr>0x01010091EFBB93D5E86A44B3D89FF329CF9D96</vt:lpwstr>
  </property>
  <property fmtid="{D5CDD505-2E9C-101B-9397-08002B2CF9AE}" pid="8" name="MediaServiceImageTags">
    <vt:lpwstr/>
  </property>
</Properties>
</file>